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beforeLines="100" w:after="240" w:afterLines="100"/>
        <w:jc w:val="right"/>
        <w:rPr>
          <w:rFonts w:hint="eastAsia" w:eastAsia="黑体"/>
          <w:szCs w:val="21"/>
        </w:rPr>
      </w:pPr>
    </w:p>
    <w:p>
      <w:pPr>
        <w:snapToGrid w:val="0"/>
        <w:spacing w:before="240" w:beforeLines="100" w:after="240" w:afterLines="100" w:line="360" w:lineRule="auto"/>
        <w:jc w:val="center"/>
        <w:rPr>
          <w:rFonts w:eastAsia="方正大黑简体"/>
          <w:kern w:val="28"/>
          <w:sz w:val="56"/>
          <w:szCs w:val="52"/>
        </w:rPr>
      </w:pPr>
      <w:r>
        <w:rPr>
          <w:rFonts w:eastAsia="方正大黑简体"/>
          <w:kern w:val="28"/>
          <w:sz w:val="56"/>
          <w:szCs w:val="52"/>
        </w:rPr>
        <w:t xml:space="preserve">                   目 录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eastAsia="方正正中黑简体"/>
          <w:sz w:val="28"/>
          <w:szCs w:val="28"/>
        </w:rPr>
      </w:pPr>
      <w:r>
        <w:rPr>
          <w:rFonts w:eastAsia="黑体"/>
          <w:kern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5760085" cy="0"/>
                <wp:effectExtent l="0" t="28575" r="5715" b="349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.35pt;height:0pt;width:453.55pt;z-index:251662336;mso-width-relative:page;mso-height-relative:page;" filled="f" stroked="t" coordsize="21600,21600" o:gfxdata="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alUbdEAAAAFAQAADwAA&#10;AAAAAAABACAAAAAiAAAAZHJzL2Rvd25yZXYueG1sUEsBAhQAFAAAAAgAh07iQOQEdE7kAQAAqQMA&#10;AA4AAAAAAAAAAQAgAAAAIAEAAGRycy9lMm9Eb2MueG1sUEsFBgAAAAAGAAYAWQEAAHYFAAAAAA==&#10;">
                <v:path arrowok="t"/>
                <v:fill on="f" focussize="0,0"/>
                <v:stroke weight="4.5pt" linestyle="thickThin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方正正中黑简体" w:eastAsia="方正正中黑简体"/>
          <w:szCs w:val="21"/>
        </w:rPr>
      </w:pPr>
    </w:p>
    <w:p>
      <w:pPr>
        <w:spacing w:line="360" w:lineRule="auto"/>
        <w:rPr>
          <w:rFonts w:hint="eastAsia" w:eastAsia="方正正中黑简体"/>
          <w:bCs/>
          <w:sz w:val="24"/>
          <w:lang w:val="ru-RU"/>
        </w:rPr>
      </w:pPr>
      <w:r>
        <w:rPr>
          <w:rFonts w:hint="eastAsia" w:ascii="方正正中黑简体" w:eastAsia="方正正中黑简体"/>
          <w:sz w:val="24"/>
        </w:rPr>
        <w:t xml:space="preserve">◆ </w:t>
      </w:r>
      <w:r>
        <w:rPr>
          <w:rFonts w:hint="eastAsia" w:eastAsia="方正正中黑简体"/>
          <w:bCs/>
          <w:sz w:val="24"/>
        </w:rPr>
        <w:t>中亚政治研究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</w:rPr>
        <w:t>美国现阶段的中亚政策：共识达成的利益及可能性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1</w:t>
      </w:r>
    </w:p>
    <w:p>
      <w:pPr>
        <w:tabs>
          <w:tab w:val="right" w:leader="dot" w:pos="9030"/>
        </w:tabs>
      </w:pPr>
      <w:r>
        <w:rPr>
          <w:rFonts w:hint="eastAsia"/>
        </w:rPr>
        <w:t>作为政治目标实现手段的国际恐怖主义及其在中亚的特征</w:t>
      </w:r>
      <w:r>
        <w:rPr>
          <w:rFonts w:hint="eastAsia"/>
        </w:rPr>
        <w:tab/>
      </w:r>
      <w:r>
        <w:rPr>
          <w:rFonts w:hint="eastAsia"/>
        </w:rPr>
        <w:t>10</w:t>
      </w:r>
    </w:p>
    <w:p>
      <w:pPr>
        <w:tabs>
          <w:tab w:val="left" w:pos="6720"/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76008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45pt;height:0pt;width:453.55pt;z-index:251666432;mso-width-relative:page;mso-height-relative:page;" filled="f" stroked="t" coordsize="21600,21600" o:gfxdata="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i/11NUAAAAGAQAADwAA&#10;AAAAAAABACAAAAAiAAAAZHJzL2Rvd25yZXYueG1sUEsBAhQAFAAAAAgAh07iQOccP3bgAQAAogMA&#10;AA4AAAAAAAAAAQAgAAAAJAEAAGRycy9lMm9Eb2MueG1sUEsFBgAAAAAGAAYAWQEAAHYFAAAAAA==&#10;">
                <v:path arrowok="t"/>
                <v:fill on="f" focussize="0,0"/>
                <v:stroke weight="0.5pt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ascii="方正正中黑简体" w:eastAsia="方正正中黑简体"/>
          <w:sz w:val="10"/>
          <w:szCs w:val="10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eastAsia="方正正中黑简体"/>
          <w:bCs/>
          <w:sz w:val="24"/>
        </w:rPr>
      </w:pPr>
      <w:r>
        <w:rPr>
          <w:rFonts w:hint="eastAsia" w:ascii="方正正中黑简体" w:eastAsia="方正正中黑简体"/>
          <w:sz w:val="24"/>
        </w:rPr>
        <w:t xml:space="preserve">◆ </w:t>
      </w:r>
      <w:r>
        <w:rPr>
          <w:rFonts w:hint="eastAsia" w:eastAsia="方正正中黑简体"/>
          <w:bCs/>
          <w:sz w:val="24"/>
        </w:rPr>
        <w:t>中亚经济研究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欧亚大陆国际运输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14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监管回归：哈萨克斯坦自独立以来的棉花产业改革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19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760085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0pt;height:0pt;width:453.55pt;z-index:251667456;mso-width-relative:page;mso-height-relative:page;" filled="f" stroked="t" coordsize="21600,21600" o:gfxdata="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C7tmNQAAAAGAQAADwAA&#10;AAAAAAABACAAAAAiAAAAZHJzL2Rvd25yZXYueG1sUEsBAhQAFAAAAAgAh07iQIbNw3/hAQAAogMA&#10;AA4AAAAAAAAAAQAgAAAAIwEAAGRycy9lMm9Eb2MueG1sUEsFBgAAAAAGAAYAWQEAAHYFAAAAAA==&#10;">
                <v:path arrowok="t"/>
                <v:fill on="f" focussize="0,0"/>
                <v:stroke weight="0.5pt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ascii="方正正中黑简体" w:eastAsia="方正正中黑简体"/>
          <w:sz w:val="10"/>
          <w:szCs w:val="10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eastAsia="方正正中黑简体"/>
          <w:bCs/>
          <w:sz w:val="24"/>
        </w:rPr>
      </w:pPr>
      <w:r>
        <w:rPr>
          <w:rFonts w:hint="eastAsia" w:ascii="方正正中黑简体" w:eastAsia="方正正中黑简体"/>
          <w:sz w:val="24"/>
        </w:rPr>
        <w:t xml:space="preserve">◆ </w:t>
      </w:r>
      <w:r>
        <w:rPr>
          <w:rFonts w:hint="eastAsia" w:eastAsia="方正正中黑简体"/>
          <w:bCs/>
          <w:sz w:val="24"/>
        </w:rPr>
        <w:t>中亚能源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 w:ascii="宋体" w:hAnsi="宋体"/>
        </w:rPr>
        <w:t>中国的能源政策和区域主义外交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31</w:t>
      </w:r>
    </w:p>
    <w:p>
      <w:pPr>
        <w:tabs>
          <w:tab w:val="right" w:leader="dot" w:pos="9030"/>
        </w:tabs>
        <w:spacing w:line="360" w:lineRule="auto"/>
        <w:rPr>
          <w:kern w:val="0"/>
          <w:szCs w:val="21"/>
          <w:lang w:val="zh-CN"/>
        </w:rPr>
      </w:pPr>
      <w:r>
        <w:rPr>
          <w:rFonts w:ascii="宋体" w:hAnsi="宋体"/>
        </w:rPr>
        <w:t>土库曼斯坦和欧亚能源的虚拟政治：塔彼管道项目案例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37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760085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45pt;height:0pt;width:453.55pt;z-index:251668480;mso-width-relative:page;mso-height-relative:page;" filled="f" stroked="t" coordsize="21600,21600" o:gfxdata="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a8CD1gAAAAYBAAAP&#10;AAAAAAAAAAEAIAAAACIAAABkcnMvZG93bnJldi54bWxQSwECFAAUAAAACACHTuJAMpicEOEBAACi&#10;AwAADgAAAAAAAAABACAAAAAlAQAAZHJzL2Uyb0RvYy54bWxQSwUGAAAAAAYABgBZAQAAeAUAAAAA&#10;">
                <v:path arrowok="t"/>
                <v:fill on="f" focussize="0,0"/>
                <v:stroke weight="0.5pt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ascii="方正正中黑简体" w:eastAsia="方正正中黑简体"/>
          <w:sz w:val="10"/>
          <w:szCs w:val="10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hint="eastAsia" w:eastAsia="方正正中黑简体"/>
          <w:bCs/>
          <w:sz w:val="24"/>
        </w:rPr>
      </w:pPr>
      <w:r>
        <w:rPr>
          <w:rFonts w:hint="eastAsia" w:ascii="方正正中黑简体" w:eastAsia="方正正中黑简体"/>
          <w:sz w:val="24"/>
        </w:rPr>
        <w:t xml:space="preserve">◆ </w:t>
      </w:r>
      <w:r>
        <w:rPr>
          <w:rFonts w:hint="eastAsia" w:eastAsia="方正正中黑简体"/>
          <w:bCs/>
          <w:sz w:val="24"/>
        </w:rPr>
        <w:t>中亚社会研究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吉尔吉斯斯坦安全问题调研：通力合作、关系网络与措辞表述（二）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48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bCs/>
          <w:kern w:val="0"/>
          <w:szCs w:val="21"/>
        </w:rPr>
        <w:t>中亚集落遗迹的分布及其形态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56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</w:rPr>
      </w:pPr>
      <w:r>
        <w:rPr>
          <w:bCs/>
          <w:kern w:val="0"/>
          <w:szCs w:val="21"/>
        </w:rPr>
        <w:t>（二）</w:t>
      </w:r>
      <w:r>
        <w:rPr>
          <w:rFonts w:hint="eastAsia"/>
          <w:bCs/>
          <w:kern w:val="0"/>
          <w:szCs w:val="21"/>
        </w:rPr>
        <w:t>基于2015年度乌兹别克斯坦实地考察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>63</w:t>
      </w:r>
    </w:p>
    <w:p>
      <w:pPr>
        <w:tabs>
          <w:tab w:val="right" w:leader="dot" w:pos="9030"/>
        </w:tabs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费尔干纳州（俄罗斯领属时期的中亚）的民族状况</w:t>
      </w: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71</w:t>
      </w:r>
    </w:p>
    <w:p>
      <w:pPr>
        <w:tabs>
          <w:tab w:val="right" w:leader="dot" w:pos="9030"/>
        </w:tabs>
        <w:spacing w:line="360" w:lineRule="auto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中亚的集体认同感</w:t>
      </w:r>
      <w:r>
        <w:rPr>
          <w:rFonts w:hint="eastAsia"/>
          <w:bCs/>
          <w:kern w:val="0"/>
          <w:szCs w:val="21"/>
        </w:rPr>
        <w:tab/>
      </w:r>
      <w:r>
        <w:rPr>
          <w:rFonts w:hint="eastAsia"/>
          <w:bCs/>
          <w:kern w:val="0"/>
          <w:szCs w:val="21"/>
        </w:rPr>
        <w:t>81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hint="eastAsia" w:ascii="方正正中黑简体" w:eastAsia="方正正中黑简体"/>
          <w:sz w:val="10"/>
          <w:szCs w:val="10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hint="eastAsia" w:ascii="方正正中黑简体" w:eastAsia="方正正中黑简体"/>
          <w:sz w:val="10"/>
          <w:szCs w:val="10"/>
        </w:rPr>
      </w:pPr>
    </w:p>
    <w:p>
      <w:pPr>
        <w:tabs>
          <w:tab w:val="right" w:leader="dot" w:pos="9030"/>
        </w:tabs>
        <w:snapToGrid w:val="0"/>
        <w:spacing w:line="336" w:lineRule="auto"/>
        <w:rPr>
          <w:rFonts w:hint="eastAsia"/>
          <w:kern w:val="0"/>
          <w:szCs w:val="21"/>
          <w:lang w:val="zh-CN"/>
        </w:rPr>
      </w:pPr>
      <w:bookmarkStart w:id="0" w:name="_GoBack"/>
      <w:r>
        <w:rPr>
          <w:rFonts w:hint="eastAsia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133350</wp:posOffset>
                </wp:positionV>
                <wp:extent cx="5760085" cy="0"/>
                <wp:effectExtent l="0" t="28575" r="5715" b="3492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0.5pt;height:0pt;width:453.55pt;z-index:251663360;mso-width-relative:page;mso-height-relative:page;" filled="f" stroked="t" coordsize="21600,21600" o:gfxdata="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xJfPNcAAAAH&#10;AQAADwAAAAAAAAABACAAAAAiAAAAZHJzL2Rvd25yZXYueG1sUEsBAhQAFAAAAAgAh07iQNcOP3Tk&#10;AQAAqQMAAA4AAAAAAAAAAQAgAAAAJgEAAGRycy9lMm9Eb2MueG1sUEsFBgAAAAAGAAYAWQEAAHwF&#10;AAAAAA==&#10;">
                <v:path arrowok="t"/>
                <v:fill on="f" focussize="0,0"/>
                <v:stroke weight="4.5pt" linestyle="thinThick" joinstyle="bevel"/>
                <v:imagedata o:title=""/>
                <o:lock v:ext="edit" grouping="f" rotation="f" text="f" aspectratio="f"/>
              </v:line>
            </w:pict>
          </mc:Fallback>
        </mc:AlternateContent>
      </w:r>
      <w:bookmarkEnd w:id="0"/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ind w:left="2165" w:hanging="2164" w:hangingChars="902"/>
        <w:rPr>
          <w:rFonts w:eastAsia="黑体"/>
          <w:sz w:val="24"/>
        </w:rPr>
      </w:pPr>
      <w:r>
        <w:rPr>
          <w:rFonts w:eastAsia="黑体"/>
          <w:sz w:val="24"/>
        </w:rPr>
        <w:t>内部交流</w:t>
      </w:r>
    </w:p>
    <w:p>
      <w:pPr>
        <w:tabs>
          <w:tab w:val="right" w:leader="dot" w:pos="9030"/>
        </w:tabs>
        <w:snapToGrid w:val="0"/>
        <w:spacing w:line="336" w:lineRule="auto"/>
        <w:rPr>
          <w:rFonts w:hint="eastAsia"/>
          <w:kern w:val="0"/>
          <w:szCs w:val="21"/>
          <w:lang w:val="zh-CN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hint="eastAsia"/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spacing w:after="120" w:afterLines="50"/>
        <w:jc w:val="right"/>
      </w:pPr>
      <w:r>
        <w:rPr>
          <w:rFonts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卷（总第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期）</w:t>
      </w:r>
    </w:p>
    <w:p>
      <w:pPr>
        <w:tabs>
          <w:tab w:val="right" w:leader="dot" w:pos="8610"/>
          <w:tab w:val="right" w:leader="dot" w:pos="8820"/>
          <w:tab w:val="right" w:leader="dot" w:pos="9030"/>
          <w:tab w:val="right" w:leader="dot" w:pos="9240"/>
        </w:tabs>
        <w:wordWrap w:val="0"/>
        <w:snapToGrid w:val="0"/>
        <w:jc w:val="right"/>
        <w:rPr>
          <w:rFonts w:hint="eastAsia"/>
          <w:sz w:val="28"/>
          <w:szCs w:val="28"/>
        </w:rPr>
      </w:pPr>
      <w:r>
        <w:rPr>
          <w:rFonts w:hint="eastAsia" w:hAnsi="Calibri"/>
          <w:sz w:val="72"/>
          <w:szCs w:val="72"/>
        </w:rPr>
        <w:t xml:space="preserve"> </w:t>
      </w:r>
      <w:r>
        <w:rPr>
          <w:rFonts w:hint="eastAsia" w:hAnsi="Calibri"/>
          <w:sz w:val="28"/>
          <w:szCs w:val="28"/>
        </w:rPr>
        <w:t xml:space="preserve"> 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eastAsia="方正正中黑简体"/>
          <w:sz w:val="28"/>
          <w:szCs w:val="28"/>
        </w:rPr>
      </w:pPr>
      <w:r>
        <w:rPr>
          <w:rFonts w:eastAsia="黑体"/>
          <w:kern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5760085" cy="0"/>
                <wp:effectExtent l="0" t="28575" r="5715" b="349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.35pt;height:0pt;width:453.55pt;z-index:251665408;mso-width-relative:page;mso-height-relative:page;" filled="f" stroked="t" coordsize="21600,21600" o:gfxdata="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alUbdEAAAAFAQAADwAA&#10;AAAAAAABACAAAAAiAAAAZHJzL2Rvd25yZXYueG1sUEsBAhQAFAAAAAgAh07iQA0LoinkAQAAqQMA&#10;AA4AAAAAAAAAAQAgAAAAIAEAAGRycy9lMm9Eb2MueG1sUEsFBgAAAAAGAAYAWQEAAHYFAAAAAA==&#10;">
                <v:path arrowok="t"/>
                <v:fill on="f" focussize="0,0"/>
                <v:stroke weight="4.5pt" linestyle="thickThin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tabs>
          <w:tab w:val="right" w:leader="dot" w:pos="9030"/>
        </w:tabs>
        <w:snapToGrid w:val="0"/>
        <w:spacing w:line="336" w:lineRule="auto"/>
        <w:rPr>
          <w:rFonts w:hint="eastAsia"/>
          <w:kern w:val="0"/>
          <w:szCs w:val="21"/>
          <w:lang w:val="zh-CN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pacing w:line="360" w:lineRule="auto"/>
        <w:rPr>
          <w:rFonts w:eastAsia="方正正中黑简体"/>
          <w:bCs/>
          <w:sz w:val="24"/>
        </w:rPr>
      </w:pPr>
      <w:r>
        <w:rPr>
          <w:rFonts w:hint="eastAsia" w:ascii="方正正中黑简体" w:eastAsia="方正正中黑简体"/>
          <w:sz w:val="24"/>
        </w:rPr>
        <w:t xml:space="preserve">◆ </w:t>
      </w:r>
      <w:r>
        <w:rPr>
          <w:rFonts w:hint="eastAsia" w:eastAsia="方正正中黑简体"/>
          <w:bCs/>
          <w:sz w:val="24"/>
        </w:rPr>
        <w:t>中亚文化研究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匈奴建筑及住居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87</w:t>
      </w:r>
    </w:p>
    <w:p>
      <w:pPr>
        <w:tabs>
          <w:tab w:val="right" w:leader="dot" w:pos="9030"/>
        </w:tabs>
        <w:spacing w:line="360" w:lineRule="auto"/>
        <w:rPr>
          <w:kern w:val="0"/>
          <w:szCs w:val="21"/>
          <w:lang w:val="zh-CN"/>
        </w:rPr>
      </w:pPr>
      <w:r>
        <w:rPr>
          <w:rFonts w:hint="eastAsia"/>
          <w:bCs/>
          <w:kern w:val="0"/>
          <w:szCs w:val="21"/>
        </w:rPr>
        <w:t>性别与哈萨克性的辩论：中哈之间阿肯弹唱会的记忆与声音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98</w:t>
      </w:r>
    </w:p>
    <w:p>
      <w:pPr>
        <w:tabs>
          <w:tab w:val="right" w:leader="dot" w:pos="9030"/>
        </w:tabs>
        <w:spacing w:line="360" w:lineRule="auto"/>
        <w:rPr>
          <w:rFonts w:hint="eastAsia"/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现代东方学视域下英语世界早期中亚波斯文学研究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109</w:t>
      </w:r>
    </w:p>
    <w:p>
      <w:pPr>
        <w:widowControl/>
        <w:jc w:val="left"/>
        <w:rPr>
          <w:rFonts w:hint="eastAsia"/>
          <w:lang w:val="zh-CN"/>
        </w:rPr>
      </w:pPr>
    </w:p>
    <w:p>
      <w:pPr>
        <w:widowControl/>
        <w:jc w:val="left"/>
        <w:rPr>
          <w:rFonts w:hint="eastAsia"/>
          <w:lang w:val="zh-CN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</w:p>
    <w:p>
      <w:pPr>
        <w:widowControl/>
        <w:snapToGrid w:val="0"/>
        <w:jc w:val="left"/>
        <w:rPr>
          <w:rFonts w:hint="eastAsia"/>
          <w:lang w:val="ru-RU"/>
        </w:rPr>
      </w:pPr>
    </w:p>
    <w:p>
      <w:pPr>
        <w:widowControl/>
        <w:jc w:val="left"/>
        <w:rPr>
          <w:rFonts w:hint="eastAsia"/>
          <w:lang w:val="ru-RU"/>
        </w:rPr>
      </w:pPr>
      <w:r>
        <w:rPr>
          <w:rFonts w:hint="eastAsia" w:eastAsia="方正正中黑简体"/>
          <w:bCs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0085" cy="0"/>
                <wp:effectExtent l="0" t="28575" r="5715" b="349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5pt;height:0pt;width:453.55pt;z-index:251664384;mso-width-relative:page;mso-height-relative:page;" filled="f" stroked="t" coordsize="21600,21600" o:gfxdata="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bSZNNMAAAACAQAA&#10;DwAAAAAAAAABACAAAAAiAAAAZHJzL2Rvd25yZXYueG1sUEsBAhQAFAAAAAgAh07iQMCAjnjlAQAA&#10;qQMAAA4AAAAAAAAAAQAgAAAAIgEAAGRycy9lMm9Eb2MueG1sUEsFBgAAAAAGAAYAWQEAAHkFAAAA&#10;AA==&#10;">
                <v:path arrowok="t"/>
                <v:fill on="f" focussize="0,0"/>
                <v:stroke weight="4.5pt" linestyle="thinThick" joinstyle="bevel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napToGrid w:val="0"/>
        <w:spacing w:line="336" w:lineRule="auto"/>
        <w:jc w:val="center"/>
        <w:rPr>
          <w:szCs w:val="22"/>
        </w:rPr>
      </w:pPr>
      <w:r>
        <w:rPr>
          <w:rFonts w:hAnsi="Calibri"/>
          <w:szCs w:val="22"/>
        </w:rPr>
        <w:t>执行主编：凌建侯</w:t>
      </w:r>
      <w:r>
        <w:rPr>
          <w:szCs w:val="22"/>
        </w:rPr>
        <w:t xml:space="preserve">                                   </w:t>
      </w:r>
      <w:r>
        <w:rPr>
          <w:rFonts w:hAnsi="Calibri"/>
          <w:szCs w:val="22"/>
        </w:rPr>
        <w:t>校</w:t>
      </w:r>
      <w:r>
        <w:rPr>
          <w:szCs w:val="22"/>
        </w:rPr>
        <w:t xml:space="preserve">    </w:t>
      </w:r>
      <w:r>
        <w:rPr>
          <w:rFonts w:hAnsi="Calibri"/>
          <w:szCs w:val="22"/>
        </w:rPr>
        <w:t>对：</w:t>
      </w:r>
      <w:r>
        <w:rPr>
          <w:rFonts w:hint="eastAsia" w:hAnsi="Calibri"/>
          <w:szCs w:val="22"/>
        </w:rPr>
        <w:t>张凌燕</w:t>
      </w:r>
      <w:r>
        <w:rPr>
          <w:rFonts w:hAnsi="Calibri"/>
          <w:szCs w:val="22"/>
        </w:rPr>
        <w:t>、</w:t>
      </w:r>
      <w:r>
        <w:rPr>
          <w:rFonts w:hint="eastAsia" w:hAnsi="Calibri"/>
          <w:szCs w:val="22"/>
        </w:rPr>
        <w:t>肖楚舟</w:t>
      </w:r>
    </w:p>
    <w:p>
      <w:pPr>
        <w:snapToGrid w:val="0"/>
        <w:spacing w:line="336" w:lineRule="auto"/>
        <w:jc w:val="center"/>
        <w:rPr>
          <w:rFonts w:hint="eastAsia" w:hAnsi="Calibri"/>
          <w:szCs w:val="22"/>
        </w:rPr>
      </w:pPr>
      <w:r>
        <w:rPr>
          <w:rFonts w:hAnsi="Calibri"/>
          <w:szCs w:val="22"/>
        </w:rPr>
        <w:t>执行编辑：</w:t>
      </w:r>
      <w:r>
        <w:rPr>
          <w:rFonts w:hint="eastAsia" w:hAnsi="Calibri"/>
          <w:szCs w:val="22"/>
        </w:rPr>
        <w:t>张凌燕</w:t>
      </w:r>
      <w:r>
        <w:rPr>
          <w:szCs w:val="22"/>
        </w:rPr>
        <w:t xml:space="preserve">                                   </w:t>
      </w:r>
      <w:r>
        <w:rPr>
          <w:rFonts w:hAnsi="Calibri"/>
          <w:szCs w:val="22"/>
        </w:rPr>
        <w:t>外文译校：</w:t>
      </w:r>
      <w:r>
        <w:rPr>
          <w:rFonts w:hint="eastAsia" w:hAnsi="Calibri"/>
          <w:szCs w:val="22"/>
        </w:rPr>
        <w:t>张凌燕</w:t>
      </w:r>
      <w:r>
        <w:rPr>
          <w:rFonts w:hAnsi="Calibri"/>
          <w:szCs w:val="22"/>
        </w:rPr>
        <w:t>、凌建侯</w:t>
      </w:r>
    </w:p>
    <w:p>
      <w:pPr>
        <w:snapToGrid w:val="0"/>
        <w:spacing w:line="336" w:lineRule="auto"/>
        <w:jc w:val="center"/>
        <w:rPr>
          <w:rFonts w:hAnsi="Calibri"/>
          <w:szCs w:val="22"/>
        </w:rPr>
        <w:sectPr>
          <w:headerReference r:id="rId3" w:type="default"/>
          <w:headerReference r:id="rId4" w:type="even"/>
          <w:pgSz w:w="11907" w:h="16839"/>
          <w:pgMar w:top="1701" w:right="1418" w:bottom="1418" w:left="1418" w:header="1701" w:footer="1134" w:gutter="0"/>
          <w:pgNumType w:start="1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86515"/>
    <w:rsid w:val="0FE65950"/>
    <w:rsid w:val="16C86515"/>
    <w:rsid w:val="730C219A"/>
    <w:rsid w:val="767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MS Mincho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2020-08-25T02:57:00Z</dcterms:created>
  <dc:creator>buling</dc:creator>
  <cp:lastModifiedBy>buling</cp:lastModifiedBy>
  <dcterms:modified xsi:type="dcterms:W3CDTF">2020-08-25T03:01:10Z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