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 w:line="360" w:lineRule="auto"/>
        <w:jc w:val="center"/>
        <w:rPr>
          <w:rFonts w:eastAsia="方正大黑简体"/>
          <w:kern w:val="28"/>
          <w:sz w:val="56"/>
          <w:szCs w:val="52"/>
        </w:rPr>
      </w:pPr>
      <w:r>
        <w:rPr>
          <w:rFonts w:eastAsia="方正大黑简体"/>
          <w:kern w:val="28"/>
          <w:sz w:val="56"/>
          <w:szCs w:val="52"/>
        </w:rPr>
        <w:t xml:space="preserve"> 目 录</w: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36" w:lineRule="auto"/>
        <w:rPr>
          <w:rFonts w:eastAsia="方正正中黑简体"/>
          <w:sz w:val="28"/>
          <w:szCs w:val="28"/>
        </w:rPr>
      </w:pPr>
      <w:r>
        <w:rPr>
          <w:rFonts w:eastAsia="黑体"/>
          <w:kern w:val="2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29845</wp:posOffset>
                </wp:positionV>
                <wp:extent cx="5760085" cy="0"/>
                <wp:effectExtent l="0" t="28575" r="571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.35pt;height:0pt;width:453.55pt;z-index:251670528;mso-width-relative:page;mso-height-relative:page;" filled="f" coordsize="21600,21600" o:gfxdata="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mpVG3RAAAABQEAAA8AAAAA&#10;AAAAAQAgAAAAIgAAAGRycy9kb3ducmV2LnhtbFBLAQIUABQAAAAIAIdO4kBQ9TJt4gEAAKcDAAAO&#10;AAAAAAAAAAEAIAAAACABAABkcnMvZTJvRG9jLnhtbFBLBQYAAAAABgAGAFkBAAB0BQAAAAA=&#10;">
                <v:path arrowok="t"/>
                <v:fill on="f" focussize="0,0"/>
                <v:stroke weight="4.5pt" linestyle="thickThin" joinstyle="bevel"/>
                <v:imagedata o:title=""/>
                <o:lock v:ext="edit"/>
              </v:line>
            </w:pict>
          </mc:Fallback>
        </mc:AlternateContent>
      </w:r>
    </w:p>
    <w:p>
      <w:pPr>
        <w:tabs>
          <w:tab w:val="left" w:pos="6720"/>
          <w:tab w:val="right" w:leader="dot" w:pos="8610"/>
          <w:tab w:val="right" w:leader="dot" w:pos="8820"/>
          <w:tab w:val="right" w:leader="dot" w:pos="9030"/>
        </w:tabs>
        <w:snapToGrid w:val="0"/>
        <w:spacing w:line="360" w:lineRule="auto"/>
        <w:rPr>
          <w:rFonts w:eastAsia="方正正中黑简体"/>
          <w:bCs/>
          <w:sz w:val="24"/>
        </w:rPr>
      </w:pPr>
      <w:r>
        <w:rPr>
          <w:bCs/>
          <w:sz w:val="24"/>
        </w:rPr>
        <w:t>◆</w:t>
      </w:r>
      <w:r>
        <w:rPr>
          <w:rFonts w:eastAsia="方正正中黑简体"/>
          <w:bCs/>
          <w:sz w:val="24"/>
        </w:rPr>
        <w:t>中亚政治</w:t>
      </w:r>
    </w:p>
    <w:p>
      <w:pPr>
        <w:tabs>
          <w:tab w:val="right" w:leader="dot" w:pos="9030"/>
        </w:tabs>
        <w:snapToGri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</w:rPr>
        <w:t>土库曼斯坦独立25周年：独裁主义的高昂代价</w:t>
      </w:r>
      <w:r>
        <w:rPr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  <w:lang w:val="zh-CN"/>
        </w:rPr>
      </w:pPr>
      <w:r>
        <w:rPr>
          <w:kern w:val="0"/>
          <w:szCs w:val="21"/>
        </w:rPr>
        <w:t>中亚政治中的伊斯兰教因素</w:t>
      </w:r>
      <w:r>
        <w:rPr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9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</w:rPr>
      </w:pPr>
      <w:r>
        <w:rPr>
          <w:kern w:val="0"/>
          <w:szCs w:val="21"/>
        </w:rPr>
        <w:t>公民社会纵观：以吉尔吉斯坦为例</w:t>
      </w:r>
      <w:r>
        <w:rPr>
          <w:kern w:val="0"/>
          <w:szCs w:val="21"/>
        </w:rPr>
        <w:tab/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3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</w:rPr>
      </w:pPr>
      <w:r>
        <w:rPr>
          <w:kern w:val="0"/>
          <w:szCs w:val="21"/>
        </w:rPr>
        <w:t>塔吉克斯坦议会制度的建立：过去、现在与未来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20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</w:rPr>
      </w:pPr>
      <w:r>
        <w:rPr>
          <w:kern w:val="0"/>
          <w:szCs w:val="21"/>
        </w:rPr>
        <w:t>当代吉尔吉斯斯坦不稳定的根源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26</w:t>
      </w:r>
    </w:p>
    <w:p>
      <w:pPr>
        <w:tabs>
          <w:tab w:val="left" w:pos="6720"/>
          <w:tab w:val="right" w:leader="dot" w:pos="9030"/>
        </w:tabs>
        <w:snapToGri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600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45pt;height:0pt;width:453.55pt;z-index:251671552;mso-width-relative:page;mso-height-relative:page;" filled="f" coordsize="21600,21600" o:gfxdata="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80xl1AAAAAQBAAAPAAAA&#10;AAAAAAEAIAAAACIAAABkcnMvZG93bnJldi54bWxQSwECFAAUAAAACACHTuJAe+qJHuABAACgAwAA&#10;DgAAAAAAAAABACAAAAAjAQAAZHJzL2Uyb0RvYy54bWxQSwUGAAAAAAYABgBZAQAAdQUAAAAA&#10;">
                <v:path arrowok="t"/>
                <v:fill on="f" focussize="0,0"/>
                <v:stroke weight="0.5pt" joinstyle="bevel"/>
                <v:imagedata o:title=""/>
                <o:lock v:ext="edit"/>
              </v:line>
            </w:pict>
          </mc:Fallback>
        </mc:AlternateConten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60" w:lineRule="auto"/>
        <w:rPr>
          <w:rFonts w:eastAsia="方正正中黑简体"/>
          <w:bCs/>
          <w:sz w:val="24"/>
        </w:rPr>
      </w:pPr>
      <w:r>
        <w:rPr>
          <w:bCs/>
          <w:sz w:val="24"/>
        </w:rPr>
        <w:t>◆</w:t>
      </w:r>
      <w:r>
        <w:rPr>
          <w:rFonts w:eastAsia="方正正中黑简体"/>
          <w:bCs/>
          <w:sz w:val="24"/>
        </w:rPr>
        <w:t>中亚经济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  <w:lang w:val="zh-CN"/>
        </w:rPr>
      </w:pPr>
      <w:r>
        <w:rPr>
          <w:kern w:val="0"/>
          <w:szCs w:val="21"/>
        </w:rPr>
        <w:t>俄罗斯和中国的欧亚规划</w:t>
      </w:r>
      <w:r>
        <w:rPr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30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  <w:lang w:val="zh-CN"/>
        </w:rPr>
      </w:pPr>
      <w:r>
        <w:rPr>
          <w:kern w:val="0"/>
          <w:szCs w:val="21"/>
        </w:rPr>
        <w:t>乌兹别克斯坦国家对外贸经济活动调控的原则</w:t>
      </w:r>
      <w:r>
        <w:rPr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37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  <w:lang w:val="zh-CN"/>
        </w:rPr>
      </w:pPr>
      <w:r>
        <w:rPr>
          <w:kern w:val="0"/>
          <w:szCs w:val="21"/>
        </w:rPr>
        <w:t>金融工具对哈萨克斯坦资本流动影响的研究模型</w:t>
      </w:r>
      <w:r>
        <w:rPr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39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</w:rPr>
      </w:pPr>
      <w:r>
        <w:rPr>
          <w:kern w:val="0"/>
          <w:szCs w:val="21"/>
        </w:rPr>
        <w:t>乌兹别克斯坦共和国国家支持小企业之成效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49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</w:rPr>
      </w:pPr>
      <w:r>
        <w:rPr>
          <w:kern w:val="0"/>
          <w:szCs w:val="21"/>
        </w:rPr>
        <w:t>绿色经济：哈萨克斯坦的创新型发展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51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</w:rPr>
      </w:pPr>
      <w:r>
        <w:rPr>
          <w:kern w:val="0"/>
          <w:szCs w:val="21"/>
        </w:rPr>
        <w:t>如何完善乌兹别克斯坦有价证券市场基础设施？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54</w:t>
      </w:r>
    </w:p>
    <w:p>
      <w:pPr>
        <w:tabs>
          <w:tab w:val="right" w:leader="dot" w:pos="9030"/>
        </w:tabs>
        <w:snapToGri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76008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pt;height:0pt;width:453.55pt;z-index:251672576;mso-width-relative:page;mso-height-relative:page;" filled="f" coordsize="21600,21600" o:gfxdata="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qyN/PUAAAABAEAAA8AAAAA&#10;AAAAAQAgAAAAIgAAAGRycy9kb3ducmV2LnhtbFBLAQIUABQAAAAIAIdO4kCUO3PR3wEAAKADAAAO&#10;AAAAAAAAAAEAIAAAACMBAABkcnMvZTJvRG9jLnhtbFBLBQYAAAAABgAGAFkBAAB0BQAAAAA=&#10;">
                <v:path arrowok="t"/>
                <v:fill on="f" focussize="0,0"/>
                <v:stroke weight="0.5pt" joinstyle="bevel"/>
                <v:imagedata o:title=""/>
                <o:lock v:ext="edit"/>
              </v:line>
            </w:pict>
          </mc:Fallback>
        </mc:AlternateConten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60" w:lineRule="auto"/>
        <w:rPr>
          <w:rFonts w:eastAsia="方正正中黑简体"/>
          <w:bCs/>
          <w:sz w:val="24"/>
        </w:rPr>
      </w:pPr>
      <w:r>
        <w:rPr>
          <w:bCs/>
          <w:sz w:val="24"/>
        </w:rPr>
        <w:t>◆</w:t>
      </w:r>
      <w:r>
        <w:rPr>
          <w:rFonts w:eastAsia="方正正中黑简体"/>
          <w:bCs/>
          <w:sz w:val="24"/>
        </w:rPr>
        <w:t>中国与中亚能源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  <w:lang w:val="zh-CN"/>
        </w:rPr>
      </w:pPr>
      <w:r>
        <w:rPr>
          <w:kern w:val="0"/>
          <w:szCs w:val="21"/>
        </w:rPr>
        <w:t>哈萨克斯坦油气产业中的中国元素</w:t>
      </w:r>
      <w:r>
        <w:rPr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58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  <w:lang w:val="zh-CN"/>
        </w:rPr>
      </w:pPr>
      <w:r>
        <w:rPr>
          <w:kern w:val="0"/>
          <w:szCs w:val="21"/>
        </w:rPr>
        <w:t>土库曼斯坦油气产业中的中国元素</w:t>
      </w:r>
      <w:r>
        <w:rPr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65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  <w:lang w:val="zh-CN"/>
        </w:rPr>
      </w:pPr>
      <w:r>
        <w:rPr>
          <w:kern w:val="0"/>
          <w:szCs w:val="21"/>
        </w:rPr>
        <w:t>中国的能源领域：上合组织的意义以及中亚地区的安全</w:t>
      </w:r>
      <w:r>
        <w:rPr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72</w:t>
      </w:r>
    </w:p>
    <w:p>
      <w:pPr>
        <w:tabs>
          <w:tab w:val="right" w:leader="dot" w:pos="9030"/>
        </w:tabs>
        <w:snapToGrid w:val="0"/>
        <w:spacing w:line="336" w:lineRule="auto"/>
        <w:rPr>
          <w:kern w:val="0"/>
          <w:szCs w:val="21"/>
          <w:lang w:val="zh-CN"/>
        </w:rPr>
      </w:pPr>
      <w:bookmarkStart w:id="0" w:name="_GoBack"/>
      <w:r>
        <w:rPr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133350</wp:posOffset>
                </wp:positionV>
                <wp:extent cx="5760085" cy="0"/>
                <wp:effectExtent l="0" t="28575" r="5715" b="349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10.5pt;height:0pt;width:453.55pt;z-index:251673600;mso-width-relative:page;mso-height-relative:page;" filled="f" coordsize="21600,21600" o:gfxdata="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xJfPNcAAAAH&#10;AQAADwAAAAAAAAABACAAAAAiAAAAZHJzL2Rvd25yZXYueG1sUEsBAhQAFAAAAAgAh07iQGvd0DTk&#10;AQAApwMAAA4AAAAAAAAAAQAgAAAAJgEAAGRycy9lMm9Eb2MueG1sUEsFBgAAAAAGAAYAWQEAAHwF&#10;AAAAAA==&#10;">
                <v:path arrowok="t"/>
                <v:fill on="f" focussize="0,0"/>
                <v:stroke weight="4.5pt" linestyle="thinThick" joinstyle="bevel"/>
                <v:imagedata o:title=""/>
                <o:lock v:ext="edit"/>
              </v:line>
            </w:pict>
          </mc:Fallback>
        </mc:AlternateContent>
      </w:r>
      <w:bookmarkEnd w:id="0"/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36" w:lineRule="auto"/>
        <w:ind w:left="2165" w:hanging="2164" w:hangingChars="902"/>
        <w:rPr>
          <w:rFonts w:eastAsia="黑体"/>
          <w:sz w:val="24"/>
        </w:rPr>
      </w:pPr>
      <w:r>
        <w:rPr>
          <w:rFonts w:eastAsia="黑体"/>
          <w:sz w:val="24"/>
        </w:rPr>
        <w:t>内部交流</w:t>
      </w:r>
    </w:p>
    <w:p>
      <w:pPr>
        <w:tabs>
          <w:tab w:val="right" w:leader="dot" w:pos="9030"/>
        </w:tabs>
        <w:snapToGrid w:val="0"/>
        <w:spacing w:line="336" w:lineRule="auto"/>
        <w:rPr>
          <w:kern w:val="0"/>
          <w:szCs w:val="21"/>
          <w:lang w:val="zh-CN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rFonts w:eastAsia="方正正中黑简体"/>
          <w:bCs/>
          <w:sz w:val="24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rFonts w:eastAsia="方正正中黑简体"/>
          <w:bCs/>
          <w:sz w:val="24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rFonts w:eastAsia="方正正中黑简体"/>
          <w:bCs/>
          <w:sz w:val="24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rFonts w:eastAsia="方正正中黑简体"/>
          <w:bCs/>
          <w:sz w:val="24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rFonts w:eastAsia="方正正中黑简体"/>
          <w:bCs/>
          <w:sz w:val="24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sz w:val="18"/>
          <w:szCs w:val="18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sz w:val="18"/>
          <w:szCs w:val="18"/>
        </w:rPr>
      </w:pPr>
      <w:r>
        <w:rPr>
          <w:sz w:val="30"/>
        </w:rPr>
        <w:t xml:space="preserve">                      </w: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sz w:val="18"/>
          <w:szCs w:val="18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sz w:val="18"/>
          <w:szCs w:val="18"/>
        </w:rPr>
      </w:pP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12" w:lineRule="auto"/>
        <w:ind w:left="2"/>
        <w:rPr>
          <w:sz w:val="18"/>
          <w:szCs w:val="18"/>
        </w:rPr>
      </w:pPr>
    </w:p>
    <w:p>
      <w:pPr>
        <w:tabs>
          <w:tab w:val="right" w:leader="dot" w:pos="8610"/>
          <w:tab w:val="right" w:leader="dot" w:pos="8820"/>
          <w:tab w:val="right" w:leader="dot" w:pos="9030"/>
          <w:tab w:val="right" w:leader="dot" w:pos="9240"/>
        </w:tabs>
        <w:wordWrap w:val="0"/>
        <w:snapToGrid w:val="0"/>
        <w:spacing w:line="336" w:lineRule="auto"/>
        <w:jc w:val="right"/>
        <w:rPr>
          <w:sz w:val="28"/>
          <w:szCs w:val="28"/>
        </w:rPr>
      </w:pPr>
      <w:r>
        <w:rPr>
          <w:sz w:val="28"/>
          <w:szCs w:val="28"/>
        </w:rPr>
        <w:t>第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卷（总第1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期）  </w: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36" w:lineRule="auto"/>
        <w:rPr>
          <w:rFonts w:eastAsia="方正正中黑简体"/>
          <w:bCs/>
          <w:sz w:val="24"/>
        </w:rPr>
      </w:pPr>
      <w:r>
        <w:rPr>
          <w:rFonts w:eastAsia="方正正中黑简体"/>
          <w:bCs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760085" cy="0"/>
                <wp:effectExtent l="0" t="28575" r="5715" b="349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85pt;height:0pt;width:453.55pt;z-index:251668480;mso-width-relative:page;mso-height-relative:page;" filled="f" coordsize="21600,21600" o:gfxdata="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FtfuTVAAAABAEA&#10;AA8AAAAAAAAAAQAgAAAAIgAAAGRycy9kb3ducmV2LnhtbFBLAQIUABQAAAAIAIdO4kBfJeA05AEA&#10;AKcDAAAOAAAAAAAAAAEAIAAAACQBAABkcnMvZTJvRG9jLnhtbFBLBQYAAAAABgAGAFkBAAB6BQAA&#10;AAA=&#10;">
                <v:path arrowok="t"/>
                <v:fill on="f" focussize="0,0"/>
                <v:stroke weight="4.5pt" linestyle="thinThick" joinstyle="bevel"/>
                <v:imagedata o:title=""/>
                <o:lock v:ext="edit"/>
              </v:line>
            </w:pict>
          </mc:Fallback>
        </mc:AlternateContent>
      </w:r>
    </w:p>
    <w:p>
      <w:pPr>
        <w:tabs>
          <w:tab w:val="right" w:leader="dot" w:pos="8610"/>
          <w:tab w:val="right" w:leader="dot" w:pos="8820"/>
          <w:tab w:val="right" w:leader="dot" w:pos="9030"/>
        </w:tabs>
        <w:snapToGrid w:val="0"/>
        <w:spacing w:line="360" w:lineRule="auto"/>
        <w:rPr>
          <w:rFonts w:eastAsia="方正正中黑简体"/>
          <w:bCs/>
          <w:sz w:val="24"/>
        </w:rPr>
      </w:pPr>
      <w:r>
        <w:rPr>
          <w:bCs/>
          <w:sz w:val="24"/>
        </w:rPr>
        <w:t>◆</w:t>
      </w:r>
      <w:r>
        <w:rPr>
          <w:rFonts w:eastAsia="方正正中黑简体"/>
          <w:bCs/>
          <w:sz w:val="24"/>
        </w:rPr>
        <w:t>中亚文化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  <w:lang w:val="zh-CN"/>
        </w:rPr>
      </w:pPr>
      <w:r>
        <w:rPr>
          <w:kern w:val="0"/>
          <w:szCs w:val="21"/>
        </w:rPr>
        <w:t>中亚各民族文明在并入俄罗斯帝国前的各主要发展阶段</w:t>
      </w:r>
      <w:r>
        <w:rPr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89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  <w:lang w:val="zh-CN"/>
        </w:rPr>
      </w:pPr>
      <w:r>
        <w:rPr>
          <w:kern w:val="0"/>
          <w:szCs w:val="21"/>
        </w:rPr>
        <w:t xml:space="preserve">文化杂糅与身份认同——塔吉克斯坦文学钩沉 </w:t>
      </w:r>
      <w:r>
        <w:rPr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>93</w:t>
      </w:r>
    </w:p>
    <w:p>
      <w:pPr>
        <w:tabs>
          <w:tab w:val="right" w:leader="dot" w:pos="9030"/>
        </w:tabs>
        <w:snapToGrid w:val="0"/>
        <w:spacing w:line="360" w:lineRule="auto"/>
        <w:rPr>
          <w:rFonts w:hint="eastAsia"/>
          <w:kern w:val="0"/>
          <w:szCs w:val="21"/>
        </w:rPr>
      </w:pPr>
      <w:r>
        <w:rPr>
          <w:bCs/>
          <w:kern w:val="0"/>
          <w:szCs w:val="21"/>
        </w:rPr>
        <w:t>社会学视角下的哈萨克斯坦跨民族婚姻研究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  <w:lang w:val="zh-CN"/>
        </w:rPr>
        <w:t>100</w:t>
      </w:r>
    </w:p>
    <w:p>
      <w:pPr>
        <w:tabs>
          <w:tab w:val="right" w:leader="dot" w:pos="9030"/>
        </w:tabs>
        <w:snapToGrid w:val="0"/>
        <w:spacing w:line="336" w:lineRule="auto"/>
        <w:rPr>
          <w:kern w:val="0"/>
          <w:szCs w:val="21"/>
          <w:lang w:val="zh-CN"/>
        </w:rPr>
      </w:pPr>
    </w:p>
    <w:p>
      <w:pPr>
        <w:tabs>
          <w:tab w:val="right" w:leader="dot" w:pos="9030"/>
        </w:tabs>
        <w:snapToGrid w:val="0"/>
        <w:spacing w:line="336" w:lineRule="auto"/>
        <w:rPr>
          <w:kern w:val="0"/>
          <w:szCs w:val="21"/>
          <w:lang w:val="zh-CN"/>
        </w:rPr>
      </w:pPr>
    </w:p>
    <w:p>
      <w:pPr>
        <w:tabs>
          <w:tab w:val="right" w:leader="dot" w:pos="9030"/>
        </w:tabs>
        <w:snapToGrid w:val="0"/>
        <w:spacing w:line="336" w:lineRule="auto"/>
        <w:rPr>
          <w:kern w:val="0"/>
          <w:szCs w:val="21"/>
        </w:rPr>
      </w:pPr>
    </w:p>
    <w:p>
      <w:pPr>
        <w:widowControl/>
        <w:jc w:val="left"/>
        <w:rPr>
          <w:lang w:val="zh-CN"/>
        </w:rPr>
      </w:pPr>
    </w:p>
    <w:p>
      <w:pPr>
        <w:snapToGrid w:val="0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snapToGrid w:val="0"/>
        <w:jc w:val="left"/>
        <w:rPr>
          <w:lang w:val="ru-RU"/>
        </w:rPr>
      </w:pPr>
    </w:p>
    <w:p>
      <w:pPr>
        <w:widowControl/>
        <w:jc w:val="left"/>
        <w:rPr>
          <w:lang w:val="ru-RU"/>
        </w:rPr>
      </w:pPr>
      <w:r>
        <w:rPr>
          <w:rFonts w:eastAsia="方正正中黑简体"/>
          <w:bCs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60085" cy="0"/>
                <wp:effectExtent l="0" t="28575" r="5715" b="349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25pt;height:0pt;width:453.55pt;z-index:251669504;mso-width-relative:page;mso-height-relative:page;" filled="f" coordsize="21600,21600" o:gfxdata="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tJk00wAAAAIBAAAP&#10;AAAAAAAAAAEAIAAAACIAAABkcnMvZG93bnJldi54bWxQSwECFAAUAAAACACHTuJAqQ7oNOQBAACn&#10;AwAADgAAAAAAAAABACAAAAAiAQAAZHJzL2Uyb0RvYy54bWxQSwUGAAAAAAYABgBZAQAAeAUAAAAA&#10;">
                <v:path arrowok="t"/>
                <v:fill on="f" focussize="0,0"/>
                <v:stroke weight="4.5pt" linestyle="thinThick" joinstyle="bevel"/>
                <v:imagedata o:title=""/>
                <o:lock v:ext="edit"/>
              </v:line>
            </w:pict>
          </mc:Fallback>
        </mc:AlternateContent>
      </w:r>
    </w:p>
    <w:p>
      <w:pPr>
        <w:snapToGrid w:val="0"/>
        <w:spacing w:line="336" w:lineRule="auto"/>
        <w:jc w:val="center"/>
        <w:rPr>
          <w:szCs w:val="22"/>
        </w:rPr>
      </w:pPr>
      <w:r>
        <w:rPr>
          <w:szCs w:val="22"/>
        </w:rPr>
        <w:t>执行主编：凌建侯                                   校    对：张凌燕、肖楚舟</w:t>
      </w:r>
    </w:p>
    <w:p>
      <w:r>
        <w:rPr>
          <w:szCs w:val="22"/>
        </w:rPr>
        <w:t>执行编辑：张凌燕                                   外文译校：张凌燕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63AC"/>
    <w:rsid w:val="1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2020-08-25T02:53:00Z</dcterms:created>
  <dc:creator>buling</dc:creator>
  <cp:lastModifiedBy>buling</cp:lastModifiedBy>
  <dcterms:modified xsi:type="dcterms:W3CDTF">2020-08-25T02:55:40Z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