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3175" b="3175"/>
            <wp:wrapSquare wrapText="bothSides"/>
            <wp:docPr id="1" name="图片 6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说明: 说明: 校徽高清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jc w:val="center"/>
        <w:rPr>
          <w:rFonts w:ascii="Times New Roman" w:hAnsi="Times New Roman" w:eastAsia="方正大黑简体"/>
          <w:color w:val="000000"/>
          <w:sz w:val="72"/>
          <w:szCs w:val="72"/>
        </w:rPr>
      </w:pPr>
    </w:p>
    <w:p>
      <w:pPr>
        <w:jc w:val="center"/>
        <w:rPr>
          <w:rFonts w:ascii="Times New Roman" w:hAnsi="Times New Roman" w:eastAsia="方正大黑简体"/>
          <w:color w:val="000000"/>
          <w:sz w:val="72"/>
          <w:szCs w:val="72"/>
        </w:rPr>
      </w:pPr>
      <w:r>
        <w:rPr>
          <w:rFonts w:ascii="Times New Roman" w:hAnsi="Times New Roman" w:eastAsia="方正大黑简体"/>
          <w:color w:val="000000"/>
          <w:sz w:val="72"/>
          <w:szCs w:val="72"/>
        </w:rPr>
        <w:t>中 亚 速 递</w:t>
      </w:r>
    </w:p>
    <w:p>
      <w:pPr>
        <w:jc w:val="center"/>
        <w:rPr>
          <w:rFonts w:ascii="Times New Roman" w:hAnsi="Times New Roman"/>
          <w:color w:val="000000"/>
          <w:sz w:val="10"/>
          <w:szCs w:val="10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《丝绸之路经济带与中亚研究》副刊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半月刊</w:t>
      </w:r>
      <w:r>
        <w:rPr>
          <w:rFonts w:hint="eastAsia" w:ascii="Times New Roman" w:hAnsi="Times New Roman"/>
          <w:color w:val="000000"/>
          <w:sz w:val="32"/>
          <w:szCs w:val="32"/>
        </w:rPr>
        <w:t>·</w:t>
      </w:r>
      <w:r>
        <w:rPr>
          <w:rFonts w:ascii="Times New Roman" w:hAnsi="Times New Roman"/>
          <w:color w:val="000000"/>
          <w:sz w:val="32"/>
          <w:szCs w:val="32"/>
        </w:rPr>
        <w:t>2010年创刊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第8卷  第</w:t>
      </w:r>
      <w:r>
        <w:rPr>
          <w:rFonts w:hint="eastAsia" w:ascii="Times New Roman" w:hAnsi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color w:val="000000"/>
          <w:sz w:val="32"/>
          <w:szCs w:val="32"/>
        </w:rPr>
        <w:t>期   2020年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30</w:t>
      </w:r>
      <w:r>
        <w:rPr>
          <w:rFonts w:ascii="Times New Roman" w:hAnsi="Times New Roman"/>
          <w:color w:val="000000"/>
          <w:sz w:val="32"/>
          <w:szCs w:val="32"/>
        </w:rPr>
        <w:t>日</w:t>
      </w:r>
    </w:p>
    <w:p>
      <w:pPr>
        <w:snapToGrid w:val="0"/>
        <w:spacing w:line="300" w:lineRule="auto"/>
        <w:jc w:val="center"/>
        <w:rPr>
          <w:rFonts w:hint="eastAsia" w:ascii="Times New Roman" w:hAnsi="Times New Roman"/>
          <w:color w:val="000000"/>
          <w:szCs w:val="22"/>
        </w:rPr>
      </w:pPr>
      <w:r>
        <w:rPr>
          <w:rFonts w:hint="eastAsia" w:ascii="Times New Roman" w:hAnsi="Times New Roman"/>
          <w:color w:val="000000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hint="eastAsia" w:ascii="Times New Roman" w:hAnsi="Times New Roman"/>
          <w:color w:val="000000"/>
          <w:szCs w:val="22"/>
        </w:rPr>
      </w:pPr>
      <w:r>
        <w:rPr>
          <w:rFonts w:hint="eastAsia" w:ascii="Times New Roman" w:hAnsi="Times New Roman"/>
          <w:color w:val="000000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 w:val="18"/>
          <w:szCs w:val="18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color w:val="000000"/>
          <w:lang w:val="ru-RU"/>
        </w:rPr>
        <w:t>------------------------------------------------------------------------------------------------------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Выпускается два раза в месяц   Издаётся с 2010 года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Том 8  №</w:t>
      </w:r>
      <w:r>
        <w:rPr>
          <w:rFonts w:hint="eastAsia" w:ascii="Times New Roman" w:hAnsi="Times New Roman"/>
          <w:color w:val="000000"/>
          <w:lang w:val="ru-RU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4</w:t>
      </w:r>
      <w:r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hint="eastAsia" w:ascii="Times New Roman" w:hAnsi="Times New Roman"/>
          <w:color w:val="000000"/>
          <w:lang w:val="en-US" w:eastAsia="zh-CN"/>
        </w:rPr>
        <w:t>30</w:t>
      </w:r>
      <w:r>
        <w:rPr>
          <w:rFonts w:ascii="Times New Roman" w:hAnsi="Times New Roman"/>
          <w:color w:val="000000"/>
          <w:lang w:val="ru-RU"/>
        </w:rPr>
        <w:t>-ое июля 2020 г.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Cs w:val="22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color w:val="000000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color w:val="000000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color w:val="000000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>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>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color w:val="000000"/>
          <w:sz w:val="32"/>
          <w:szCs w:val="32"/>
          <w:lang w:val="ru-RU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eastAsia="方正宋三简体"/>
          <w:b/>
          <w:color w:val="000000"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>协办：石河子大学丝绸之路研究中心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>北京大学新疆研究生基地</w:t>
      </w:r>
    </w:p>
    <w:p>
      <w:pPr>
        <w:snapToGrid w:val="0"/>
        <w:rPr>
          <w:rFonts w:ascii="Times New Roman" w:hAnsi="Times New Roman" w:eastAsia="方正宋三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000000"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color w:val="000000"/>
          <w:sz w:val="32"/>
          <w:szCs w:val="32"/>
        </w:rPr>
        <w:t>石河子大学师范学院</w:t>
      </w: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  <w:sectPr>
          <w:footerReference r:id="rId3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副主任：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hint="eastAsia" w:ascii="Times New Roman" w:hAnsi="Times New Roman"/>
          <w:color w:val="000000"/>
          <w:kern w:val="28"/>
          <w:sz w:val="30"/>
          <w:szCs w:val="30"/>
        </w:rPr>
        <w:t xml:space="preserve">　　   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编：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  委：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张彦虎  朱江勇  方  忆  张凌燕  </w:t>
      </w:r>
      <w:r>
        <w:rPr>
          <w:rFonts w:hint="eastAsia" w:ascii="Times New Roman" w:hAnsi="Times New Roman"/>
          <w:color w:val="000000"/>
          <w:kern w:val="28"/>
          <w:sz w:val="30"/>
          <w:szCs w:val="30"/>
        </w:rPr>
        <w:t>郭靖媛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color w:val="000000"/>
          <w:kern w:val="28"/>
          <w:sz w:val="30"/>
          <w:szCs w:val="30"/>
          <w:lang w:val="ru-RU"/>
        </w:rPr>
        <w:t xml:space="preserve"> </w:t>
      </w:r>
      <w:r>
        <w:rPr>
          <w:rFonts w:hint="eastAsia" w:ascii="Times New Roman" w:hAnsi="Times New Roman"/>
          <w:color w:val="000000"/>
          <w:kern w:val="28"/>
          <w:sz w:val="30"/>
          <w:szCs w:val="30"/>
        </w:rPr>
        <w:t>刘  爽</w:t>
      </w: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  杨  娜  </w:t>
      </w:r>
      <w:r>
        <w:rPr>
          <w:rFonts w:hint="eastAsia" w:ascii="Times New Roman" w:hAnsi="Times New Roman"/>
          <w:color w:val="000000"/>
          <w:kern w:val="28"/>
          <w:sz w:val="30"/>
          <w:szCs w:val="30"/>
        </w:rPr>
        <w:t>段素霞</w:t>
      </w: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  高婧文  张国娇</w:t>
      </w:r>
    </w:p>
    <w:p>
      <w:pPr>
        <w:shd w:val="clear" w:color="auto" w:fill="auto"/>
        <w:jc w:val="center"/>
        <w:rPr>
          <w:rFonts w:hint="eastAsia" w:ascii="黑体" w:hAnsi="黑体" w:eastAsia="黑体" w:cs="宋体"/>
          <w:sz w:val="24"/>
        </w:rPr>
      </w:pPr>
      <w:r>
        <w:rPr>
          <w:rFonts w:ascii="Times New Roman" w:hAnsi="Times New Roman" w:eastAsia="方正宋三简体"/>
          <w:b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44"/>
          <w:szCs w:val="44"/>
        </w:rPr>
        <w:t>目  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中亚经济资讯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调查：有多少哈萨克斯坦人获得了治疗新冠的免费药品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sz w:val="28"/>
          <w:szCs w:val="28"/>
          <w:lang w:val="ru-RU"/>
        </w:rPr>
        <w:t>欧盟在中亚启动抗击COVID-19计划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志愿者的新冠故事震惊了吉总统热恩别科夫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中亚经济资讯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吉尔吉斯斯坦未能设定最高药价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危机：欧亚经济联盟内部贸易出现萎缩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COVID-19大流行期间哈萨克斯坦如何支持中小企业发展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吉尔吉斯斯坦为企业家拨款42亿索姆应对疫情冲击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乌兹别克斯坦计划扶持餐饮业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中亚政治新闻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无解之题：乌兹别克斯坦为什么要设置美国的实验室？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sz w:val="28"/>
          <w:szCs w:val="28"/>
        </w:rPr>
        <w:t>乌兹别克斯坦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eastAsia="黑体" w:cs="Times New Roman"/>
          <w:sz w:val="28"/>
          <w:szCs w:val="28"/>
        </w:rPr>
        <w:t>匈牙利不断扩大合作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领域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中亚教育资讯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吉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  <w:lang w:val="en-US" w:eastAsia="zh-CN"/>
        </w:rPr>
        <w:t>教育与科学部呼吁教师、家长和学生做好继续远程教学的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准备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塔吉克斯坦提高高校学费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乌孟两国磋商纺织大学分校开设事宜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努尔苏丹以远程模式开启新学年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中亚社会资讯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哈萨克斯坦开始向感染新冠病毒的医生发放补助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乌兹别克斯坦：两月内超7万移民劳动力回国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  <w:t>外汇牌价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23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529D"/>
    <w:rsid w:val="08FF4B7A"/>
    <w:rsid w:val="0E624A8C"/>
    <w:rsid w:val="138717A5"/>
    <w:rsid w:val="19A77C30"/>
    <w:rsid w:val="23B3048B"/>
    <w:rsid w:val="34D916B5"/>
    <w:rsid w:val="55AF2356"/>
    <w:rsid w:val="56905096"/>
    <w:rsid w:val="59E8742F"/>
    <w:rsid w:val="7089146D"/>
    <w:rsid w:val="71115BCF"/>
    <w:rsid w:val="71CA319F"/>
    <w:rsid w:val="74523F03"/>
    <w:rsid w:val="76C6575F"/>
    <w:rsid w:val="79456799"/>
    <w:rsid w:val="7DF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2020-08-01T04:58:00Z</dcterms:created>
  <dc:creator>蒙曜登</dc:creator>
  <cp:lastModifiedBy>Administrator</cp:lastModifiedBy>
  <dcterms:modified xsi:type="dcterms:W3CDTF">2020-08-25T08:15:42Z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