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beforeLines="100" w:after="240" w:afterLines="100"/>
        <w:jc w:val="right"/>
        <w:rPr>
          <w:rFonts w:hint="eastAsia" w:eastAsia="黑体"/>
          <w:szCs w:val="21"/>
        </w:rPr>
      </w:pPr>
    </w:p>
    <w:p>
      <w:pPr>
        <w:snapToGrid w:val="0"/>
        <w:spacing w:before="240" w:beforeLines="100" w:after="240" w:afterLines="100" w:line="360" w:lineRule="auto"/>
        <w:jc w:val="center"/>
        <w:rPr>
          <w:rFonts w:eastAsia="方正大黑简体"/>
          <w:kern w:val="28"/>
          <w:sz w:val="56"/>
          <w:szCs w:val="52"/>
        </w:rPr>
      </w:pPr>
      <w:r>
        <w:rPr>
          <w:rFonts w:eastAsia="方正大黑简体"/>
          <w:kern w:val="28"/>
          <w:sz w:val="56"/>
          <w:szCs w:val="52"/>
        </w:rPr>
        <w:t xml:space="preserve">                   目 录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88960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qVRt0QAAAAUBAAAPAAAA&#10;AAAAAAEAIAAAACIAAABkcnMvZG93bnJldi54bWxQSwECFAAUAAAACACHTuJAhHjZdeMBAACnAwAA&#10;DgAAAAAAAAABACAAAAAgAQAAZHJzL2Uyb0RvYy54bWxQSwUGAAAAAAYABgBZAQAAdQUAAAAA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rPr>
          <w:rFonts w:hint="eastAsia" w:eastAsia="方正正中黑简体"/>
          <w:bCs/>
          <w:sz w:val="24"/>
          <w:lang w:val="ru-RU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  <w:lang w:val="ru-RU"/>
        </w:rPr>
        <w:t>“一带一路”研究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ru-RU"/>
        </w:rPr>
        <w:t>中国的丝绸之路经济带和中亚的回应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ru-RU"/>
        </w:rPr>
        <w:t>塔中建交25年与“一带一路”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</w:t>
      </w:r>
    </w:p>
    <w:p>
      <w:pPr>
        <w:tabs>
          <w:tab w:val="left" w:pos="6720"/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8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5pt;height:0pt;width:453.55pt;z-index:251689984;mso-width-relative:page;mso-height-relative:page;" filled="f" stroked="t" coordsize="21600,21600" o:gfxdata="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/NMZdQAAAAEAQAADwAAAAAA&#10;AAABACAAAAAiAAAAZHJzL2Rvd25yZXYueG1sUEsBAhQAFAAAAAgAh07iQPDp2cneAQAAoAMAAA4A&#10;AAAAAAAAAQAgAAAAIwEAAGRycy9lMm9Eb2MueG1sUEsFBgAAAAAGAAYAWQEAAHMFAAAAAA==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  <w:lang w:val="ru-RU"/>
        </w:rPr>
        <w:t>中亚地缘政治研究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  <w:lang w:val="ru-RU"/>
        </w:rPr>
        <w:t>区域一体化</w:t>
      </w:r>
      <w:r>
        <w:rPr>
          <w:rFonts w:hint="eastAsia"/>
          <w:kern w:val="0"/>
          <w:szCs w:val="21"/>
          <w:lang w:val="ru-RU"/>
        </w:rPr>
        <w:t>与</w:t>
      </w:r>
      <w:r>
        <w:rPr>
          <w:kern w:val="0"/>
          <w:szCs w:val="21"/>
          <w:lang w:val="ru-RU"/>
        </w:rPr>
        <w:t>当代中亚区域合作前景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14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ru-RU"/>
        </w:rPr>
        <w:t>俄罗斯与周边世界：俄罗斯人对“欧洲-亚洲”模式态度的变化历程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22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ru-RU"/>
        </w:rPr>
        <w:t>与中亚各国建交25周年研究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28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600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pt;height:0pt;width:453.55pt;z-index:251691008;mso-width-relative:page;mso-height-relative:page;" filled="f" stroked="t" coordsize="21600,21600" o:gfxdata="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sjfz1AAAAAQBAAAPAAAA&#10;AAAAAAEAIAAAACIAAABkcnMvZG93bnJldi54bWxQSwECFAAUAAAACACHTuJAJwKcQ+ABAACgAwAA&#10;DgAAAAAAAAABACAAAAAjAQAAZHJzL2Uyb0RvYy54bWxQSwUGAAAAAAYABgBZAQAAdQUAAAAA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  <w:lang w:val="ru-RU"/>
        </w:rPr>
        <w:t>欧安组织与中亚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 w:ascii="宋体" w:hAnsi="宋体"/>
          <w:lang w:val="ru-RU"/>
        </w:rPr>
        <w:t>赫尔辛基的反常影响？欧洲安全与合作组织与后共产主义时期中亚国家虚拟民主的巩固——以塔吉克斯坦为中心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31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ascii="宋体" w:hAnsi="宋体"/>
          <w:lang w:val="ru-RU"/>
        </w:rPr>
        <w:t>欧安组织地区的人权概念：自《赫尔辛基协议》以来的变化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43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 w:ascii="宋体" w:hAnsi="宋体"/>
          <w:spacing w:val="-4"/>
          <w:lang w:val="ru-RU"/>
        </w:rPr>
        <w:t>活动于</w:t>
      </w:r>
      <w:r>
        <w:rPr>
          <w:rFonts w:ascii="宋体" w:hAnsi="宋体"/>
          <w:spacing w:val="-4"/>
          <w:lang w:val="ru-RU"/>
        </w:rPr>
        <w:t>中亚</w:t>
      </w:r>
      <w:r>
        <w:rPr>
          <w:rFonts w:hint="eastAsia" w:ascii="宋体" w:hAnsi="宋体"/>
          <w:spacing w:val="-4"/>
          <w:lang w:val="ru-RU"/>
        </w:rPr>
        <w:t>的国际组织：援助者、行业</w:t>
      </w:r>
      <w:r>
        <w:rPr>
          <w:rFonts w:ascii="宋体" w:hAnsi="宋体"/>
          <w:spacing w:val="-4"/>
          <w:lang w:val="ru-RU"/>
        </w:rPr>
        <w:t>还是入侵者？</w:t>
      </w:r>
      <w:r>
        <w:rPr>
          <w:rFonts w:hint="eastAsia" w:ascii="宋体" w:hAnsi="宋体"/>
          <w:spacing w:val="-4"/>
          <w:lang w:val="ru-RU"/>
        </w:rPr>
        <w:t>——</w:t>
      </w:r>
      <w:r>
        <w:rPr>
          <w:rFonts w:ascii="宋体" w:hAnsi="宋体"/>
          <w:spacing w:val="-4"/>
          <w:lang w:val="ru-RU"/>
        </w:rPr>
        <w:t>以塔吉克斯坦的欧洲安全与合作组织为例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600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5pt;height:0pt;width:453.55pt;z-index:251692032;mso-width-relative:page;mso-height-relative:page;" filled="f" stroked="t" coordsize="21600,21600" o:gfxdata="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dl1N1QAAAAYBAAAPAAAA&#10;AAAAAAEAIAAAACIAAABkcnMvZG93bnJldi54bWxQSwECFAAUAAAACACHTuJA7HQG698BAACgAwAA&#10;DgAAAAAAAAABACAAAAAkAQAAZHJzL2Uyb0RvYy54bWxQSwUGAAAAAAYABgBZAQAAdQUAAAAA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  <w:lang w:val="ru-RU"/>
        </w:rPr>
        <w:t>中亚经济与资源研究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  <w:lang w:val="ru-RU"/>
        </w:rPr>
        <w:t>哈萨克斯坦经济现状和未来展望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67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ru-RU"/>
        </w:rPr>
        <w:t>中亚地区跨境河流水资源利用政策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7600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95pt;height:0pt;width:453.55pt;z-index:251697152;mso-width-relative:page;mso-height-relative:page;" filled="f" stroked="t" coordsize="21600,21600" o:gfxdata="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CZAYNUAAAAGAQAADwAA&#10;AAAAAAABACAAAAAiAAAAZHJzL2Rvd25yZXYueG1sUEsBAhQAFAAAAAgAh07iQB84IwbgAQAAoAMA&#10;AA4AAAAAAAAAAQAgAAAAJAEAAGRycy9lMm9Eb2MueG1sUEsFBgAAAAAGAAYAWQEAAHYFAAAAAA==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  <w:lang w:val="ru-RU"/>
        </w:rPr>
        <w:t>中亚宗教研究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  <w:lang w:val="ru-RU"/>
        </w:rPr>
        <w:t>后苏联时期中亚和阿塞拜疆宗教遵奉变化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89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bookmarkStart w:id="0" w:name="_GoBack"/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133350</wp:posOffset>
                </wp:positionV>
                <wp:extent cx="5760085" cy="0"/>
                <wp:effectExtent l="0" t="28575" r="5715" b="349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0.5pt;height:0pt;width:453.55pt;z-index:251693056;mso-width-relative:page;mso-height-relative:page;" filled="f" stroked="t" coordsize="21600,21600" o:gfxdata="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xJfPNcAAAAH&#10;AQAADwAAAAAAAAABACAAAAAiAAAAZHJzL2Rvd25yZXYueG1sUEsBAhQAFAAAAAgAh07iQNegWizk&#10;AQAApwMAAA4AAAAAAAAAAQAgAAAAJgEAAGRycy9lMm9Eb2MueG1sUEsFBgAAAAAGAAYAWQEAAHwF&#10;AAAAAA=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ind w:left="2165" w:hanging="2164" w:hangingChars="902"/>
        <w:rPr>
          <w:rFonts w:eastAsia="黑体"/>
          <w:sz w:val="24"/>
        </w:rPr>
      </w:pPr>
      <w:r>
        <w:rPr>
          <w:rFonts w:eastAsia="黑体"/>
          <w:sz w:val="24"/>
        </w:rPr>
        <w:t>内部交流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  <w:r>
        <w:rPr>
          <w:rFonts w:eastAsia="方正正中黑简体"/>
          <w:bCs/>
          <w:sz w:val="24"/>
        </w:rPr>
        <w:br w:type="page"/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24"/>
        </w:rPr>
      </w:pPr>
      <w:r>
        <w:rPr>
          <w:sz w:val="30"/>
        </w:rPr>
        <w:t xml:space="preserve">                    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jc w:val="right"/>
      </w:pPr>
      <w:r>
        <w:rPr>
          <w:rFonts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卷（总第</w:t>
      </w:r>
      <w:r>
        <w:rPr>
          <w:rFonts w:hint="eastAsia" w:ascii="宋体" w:hAnsi="宋体"/>
          <w:sz w:val="28"/>
          <w:szCs w:val="28"/>
        </w:rPr>
        <w:t>17</w:t>
      </w:r>
      <w:r>
        <w:rPr>
          <w:rFonts w:ascii="宋体" w:hAnsi="宋体"/>
          <w:sz w:val="28"/>
          <w:szCs w:val="28"/>
        </w:rPr>
        <w:t>期）</w: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wordWrap w:val="0"/>
        <w:snapToGrid w:val="0"/>
        <w:spacing w:line="336" w:lineRule="auto"/>
        <w:jc w:val="right"/>
        <w:rPr>
          <w:rFonts w:hint="eastAsia"/>
          <w:sz w:val="28"/>
          <w:szCs w:val="28"/>
        </w:rPr>
      </w:pPr>
      <w:r>
        <w:rPr>
          <w:rFonts w:hint="eastAsia" w:hAnsi="Calibri"/>
          <w:sz w:val="28"/>
          <w:szCs w:val="28"/>
        </w:rPr>
        <w:t xml:space="preserve">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760085" cy="0"/>
                <wp:effectExtent l="0" t="28575" r="5715" b="349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53.55pt;z-index:251694080;mso-width-relative:page;mso-height-relative:page;" filled="f" stroked="t" coordsize="21600,21600" o:gfxdata="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tfuTVAAAABAEA&#10;AA8AAAAAAAAAAQAgAAAAIgAAAGRycy9kb3ducmV2LnhtbFBLAQIUABQAAAAIAIdO4kAPD3os5AEA&#10;AKcDAAAOAAAAAAAAAAEAIAAAACQBAABkcnMvZTJvRG9jLnhtbFBLBQYAAAAABgAGAFkBAAB6BQAA&#10;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ascii="方正正中黑简体" w:eastAsia="方正正中黑简体"/>
          <w:sz w:val="24"/>
        </w:rPr>
        <w:t xml:space="preserve">◆ </w:t>
      </w:r>
      <w:r>
        <w:rPr>
          <w:rFonts w:hint="eastAsia" w:eastAsia="方正正中黑简体"/>
          <w:bCs/>
          <w:sz w:val="24"/>
        </w:rPr>
        <w:t>中亚文学研究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ru-RU"/>
        </w:rPr>
        <w:t>乌兹别克斯坦文学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100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ru-RU"/>
        </w:rPr>
        <w:t>中亚文学史简述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  <w:lang w:val="ru-RU"/>
        </w:rPr>
        <w:t>俄罗斯、哈萨克斯坦俄语学者</w:t>
      </w:r>
      <w:r>
        <w:rPr>
          <w:rFonts w:hint="eastAsia"/>
          <w:kern w:val="0"/>
          <w:szCs w:val="21"/>
          <w:lang w:val="ru-RU"/>
        </w:rPr>
        <w:t>的苏联文学研究立场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109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600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5pt;height:0pt;width:453.55pt;z-index:251695104;mso-width-relative:page;mso-height-relative:page;" filled="f" stroked="t" coordsize="21600,21600" o:gfxdata="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ldIAPUAAAABAEAAA8AAAAA&#10;AAAAAQAgAAAAIgAAAGRycy9kb3ducmV2LnhtbFBLAQIUABQAAAAIAIdO4kADpfwk3wEAAKADAAAO&#10;AAAAAAAAAAEAIAAAACMBAABkcnMvZTJvRG9jLnhtbFBLBQYAAAAABgAGAFkBAAB0BQAAAAA=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widowControl/>
        <w:jc w:val="left"/>
        <w:rPr>
          <w:rFonts w:hint="eastAsia"/>
          <w:lang w:val="zh-CN"/>
        </w:rPr>
      </w:pPr>
    </w:p>
    <w:p>
      <w:pPr>
        <w:snapToGrid w:val="0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  <w:r>
        <w:rPr>
          <w:rFonts w:hint="eastAsia"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0085" cy="0"/>
                <wp:effectExtent l="0" t="28575" r="5715" b="349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5pt;height:0pt;width:453.55pt;z-index:251696128;mso-width-relative:page;mso-height-relative:page;" filled="f" stroked="t" coordsize="21600,21600" o:gfxdata="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G0mTTTAAAAAgEAAA8A&#10;AAAAAAAAAQAgAAAAIgAAAGRycy9kb3ducmV2LnhtbFBLAQIUABQAAAAIAIdO4kClLCMs4wEAAKcD&#10;AAAOAAAAAAAAAAEAIAAAACIBAABkcnMvZTJvRG9jLnhtbFBLBQYAAAAABgAGAFkBAAB3BQAA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napToGrid w:val="0"/>
        <w:spacing w:line="336" w:lineRule="auto"/>
        <w:jc w:val="center"/>
        <w:rPr>
          <w:szCs w:val="22"/>
        </w:rPr>
      </w:pPr>
      <w:r>
        <w:rPr>
          <w:rFonts w:hAnsi="Calibri"/>
          <w:szCs w:val="22"/>
        </w:rPr>
        <w:t>执行主编：凌建侯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校</w:t>
      </w:r>
      <w:r>
        <w:rPr>
          <w:szCs w:val="22"/>
        </w:rPr>
        <w:t xml:space="preserve">    </w:t>
      </w:r>
      <w:r>
        <w:rPr>
          <w:rFonts w:hAnsi="Calibri"/>
          <w:szCs w:val="22"/>
        </w:rPr>
        <w:t>对：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</w:t>
      </w:r>
      <w:r>
        <w:rPr>
          <w:rFonts w:hint="eastAsia" w:hAnsi="Calibri"/>
          <w:szCs w:val="22"/>
        </w:rPr>
        <w:t>肖楚舟</w:t>
      </w:r>
    </w:p>
    <w:p>
      <w:pPr>
        <w:snapToGrid w:val="0"/>
        <w:spacing w:line="336" w:lineRule="auto"/>
        <w:jc w:val="center"/>
        <w:rPr>
          <w:b/>
          <w:szCs w:val="22"/>
        </w:rPr>
      </w:pPr>
      <w:r>
        <w:rPr>
          <w:rFonts w:hAnsi="Calibri"/>
          <w:szCs w:val="22"/>
        </w:rPr>
        <w:t>执行编辑：</w:t>
      </w:r>
      <w:r>
        <w:rPr>
          <w:rFonts w:hint="eastAsia" w:hAnsi="Calibri"/>
          <w:szCs w:val="22"/>
        </w:rPr>
        <w:t>张凌燕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外文译校：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、凌建侯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footnotePr>
            <w:numFmt w:val="decimalEnclosedCircleChinese"/>
            <w:numRestart w:val="eachPage"/>
          </w:footnotePr>
          <w:pgSz w:w="11906" w:h="16838"/>
          <w:pgMar w:top="1701" w:right="1418" w:bottom="1418" w:left="1418" w:header="1701" w:footer="1134" w:gutter="0"/>
          <w:cols w:space="720" w:num="1"/>
        </w:sectPr>
      </w:pPr>
    </w:p>
    <w:p>
      <w:pPr>
        <w:snapToGrid w:val="0"/>
        <w:spacing w:line="264" w:lineRule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6515"/>
    <w:rsid w:val="16C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2020-08-25T02:57:00Z</dcterms:created>
  <dc:creator>buling</dc:creator>
  <cp:lastModifiedBy>buling</cp:lastModifiedBy>
  <dcterms:modified xsi:type="dcterms:W3CDTF">2020-08-25T02:58:22Z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