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09" w:rsidRDefault="00F95FAA">
      <w:pPr>
        <w:widowControl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154305</wp:posOffset>
            </wp:positionV>
            <wp:extent cx="1078865" cy="1078865"/>
            <wp:effectExtent l="0" t="0" r="6985" b="6985"/>
            <wp:wrapSquare wrapText="bothSides"/>
            <wp:docPr id="2" name="图片 2" descr="说明: 说明: 校徽高清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说明: 说明: 校徽高清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0F09" w:rsidRDefault="00810F09">
      <w:pPr>
        <w:shd w:val="clear" w:color="auto" w:fill="FFFFFF"/>
        <w:rPr>
          <w:rFonts w:ascii="Times New Roman" w:hAnsi="Times New Roman"/>
        </w:rPr>
      </w:pPr>
    </w:p>
    <w:p w:rsidR="00810F09" w:rsidRDefault="00810F09">
      <w:pPr>
        <w:shd w:val="clear" w:color="auto" w:fill="FFFFFF"/>
        <w:rPr>
          <w:rFonts w:ascii="Times New Roman" w:hAnsi="Times New Roman"/>
        </w:rPr>
      </w:pPr>
    </w:p>
    <w:p w:rsidR="00810F09" w:rsidRDefault="00810F09">
      <w:pPr>
        <w:shd w:val="clear" w:color="auto" w:fill="FFFFFF"/>
        <w:rPr>
          <w:rFonts w:ascii="Times New Roman" w:hAnsi="Times New Roman"/>
        </w:rPr>
      </w:pPr>
    </w:p>
    <w:p w:rsidR="00810F09" w:rsidRDefault="00810F09">
      <w:pPr>
        <w:shd w:val="clear" w:color="auto" w:fill="FFFFFF"/>
        <w:jc w:val="center"/>
        <w:rPr>
          <w:rFonts w:ascii="Times New Roman" w:eastAsia="方正大黑简体" w:hAnsi="Times New Roman"/>
          <w:sz w:val="72"/>
          <w:szCs w:val="72"/>
        </w:rPr>
      </w:pPr>
    </w:p>
    <w:p w:rsidR="00810F09" w:rsidRDefault="00F95FAA">
      <w:pPr>
        <w:shd w:val="clear" w:color="auto" w:fill="FFFFFF"/>
        <w:jc w:val="center"/>
        <w:rPr>
          <w:rFonts w:ascii="Times New Roman" w:eastAsia="方正大黑简体" w:hAnsi="Times New Roman"/>
          <w:sz w:val="72"/>
          <w:szCs w:val="72"/>
        </w:rPr>
      </w:pPr>
      <w:r>
        <w:rPr>
          <w:rFonts w:ascii="Times New Roman" w:eastAsia="方正大黑简体" w:hAnsi="Times New Roman"/>
          <w:sz w:val="72"/>
          <w:szCs w:val="72"/>
        </w:rPr>
        <w:t>中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亚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速</w:t>
      </w:r>
      <w:r>
        <w:rPr>
          <w:rFonts w:ascii="Times New Roman" w:eastAsia="方正大黑简体" w:hAnsi="Times New Roman"/>
          <w:sz w:val="72"/>
          <w:szCs w:val="72"/>
        </w:rPr>
        <w:t xml:space="preserve"> </w:t>
      </w:r>
      <w:r>
        <w:rPr>
          <w:rFonts w:ascii="Times New Roman" w:eastAsia="方正大黑简体" w:hAnsi="Times New Roman"/>
          <w:sz w:val="72"/>
          <w:szCs w:val="72"/>
        </w:rPr>
        <w:t>递</w:t>
      </w:r>
    </w:p>
    <w:p w:rsidR="00810F09" w:rsidRDefault="00810F09"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 w:rsidR="00810F09" w:rsidRDefault="00F95FAA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《丝绸之路经济带与中亚研究》副刊</w:t>
      </w: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</w:t>
      </w: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半月刊</w:t>
      </w:r>
      <w:r>
        <w:rPr>
          <w:rFonts w:ascii="宋体" w:hAnsi="宋体" w:cs="宋体" w:hint="eastAsia"/>
          <w:sz w:val="32"/>
          <w:szCs w:val="32"/>
        </w:rPr>
        <w:t>·</w:t>
      </w:r>
      <w:r>
        <w:rPr>
          <w:rFonts w:ascii="Times New Roman" w:hAnsi="Times New Roman"/>
          <w:sz w:val="32"/>
          <w:szCs w:val="32"/>
        </w:rPr>
        <w:t>2010</w:t>
      </w:r>
      <w:r>
        <w:rPr>
          <w:rFonts w:ascii="Times New Roman" w:hAnsi="Times New Roman"/>
          <w:sz w:val="32"/>
          <w:szCs w:val="32"/>
        </w:rPr>
        <w:t>年创刊</w:t>
      </w: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 w:hint="eastAsia"/>
          <w:sz w:val="32"/>
          <w:szCs w:val="32"/>
        </w:rPr>
        <w:t>9</w:t>
      </w:r>
      <w:r>
        <w:rPr>
          <w:rFonts w:ascii="Times New Roman" w:hAnsi="Times New Roman"/>
          <w:sz w:val="32"/>
          <w:szCs w:val="32"/>
        </w:rPr>
        <w:t>卷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第</w:t>
      </w:r>
      <w:r>
        <w:rPr>
          <w:rFonts w:ascii="Times New Roman" w:hAnsi="Times New Roman" w:hint="eastAsia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>期</w:t>
      </w:r>
      <w:r>
        <w:rPr>
          <w:rFonts w:ascii="Times New Roman" w:hAnsi="Times New Roman"/>
          <w:sz w:val="32"/>
          <w:szCs w:val="32"/>
        </w:rPr>
        <w:t xml:space="preserve">   202</w:t>
      </w:r>
      <w:r>
        <w:rPr>
          <w:rFonts w:ascii="Times New Roman" w:hAnsi="Times New Roman" w:hint="eastAsia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  <w:lang w:val="ru-RU"/>
        </w:rPr>
        <w:t>3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 w:hint="eastAsia"/>
          <w:sz w:val="32"/>
          <w:szCs w:val="32"/>
          <w:lang w:val="ru-RU"/>
        </w:rPr>
        <w:t>30</w:t>
      </w:r>
      <w:r>
        <w:rPr>
          <w:rFonts w:ascii="Times New Roman" w:hAnsi="Times New Roman"/>
          <w:sz w:val="32"/>
          <w:szCs w:val="32"/>
        </w:rPr>
        <w:t>日</w:t>
      </w:r>
    </w:p>
    <w:p w:rsidR="00810F09" w:rsidRDefault="00810F09">
      <w:pPr>
        <w:shd w:val="clear" w:color="auto" w:fill="FFFFFF"/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810F09" w:rsidRDefault="00810F09">
      <w:pPr>
        <w:shd w:val="clear" w:color="auto" w:fill="FFFFFF"/>
        <w:snapToGrid w:val="0"/>
        <w:spacing w:line="300" w:lineRule="auto"/>
        <w:ind w:firstLineChars="1450" w:firstLine="3045"/>
        <w:jc w:val="center"/>
        <w:rPr>
          <w:rFonts w:ascii="Times New Roman" w:hAnsi="Times New Roman"/>
        </w:rPr>
      </w:pP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Экспресс-новости из регионов Центральной Азии</w:t>
      </w:r>
    </w:p>
    <w:p w:rsidR="00810F09" w:rsidRDefault="00810F09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Информационное приложение к журналу «Исследование шёлкового пути и Центральной Азии»</w:t>
      </w:r>
    </w:p>
    <w:p w:rsidR="00810F09" w:rsidRDefault="00F95FAA">
      <w:pPr>
        <w:shd w:val="clear" w:color="auto" w:fill="FFFFFF"/>
        <w:tabs>
          <w:tab w:val="left" w:pos="720"/>
          <w:tab w:val="left" w:pos="7380"/>
          <w:tab w:val="left" w:pos="7740"/>
        </w:tabs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------------------------------------------------------------------------------------------------------</w:t>
      </w: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Выпускается два раза в месяц   Издаётся с 2010 года</w:t>
      </w:r>
    </w:p>
    <w:p w:rsidR="00810F09" w:rsidRDefault="00F95FAA">
      <w:pPr>
        <w:shd w:val="clear" w:color="auto" w:fill="FFFFFF"/>
        <w:snapToGrid w:val="0"/>
        <w:spacing w:line="300" w:lineRule="auto"/>
        <w:jc w:val="center"/>
        <w:rPr>
          <w:rFonts w:ascii="Times New Roman" w:hAnsi="Times New Roman"/>
          <w:highlight w:val="yellow"/>
          <w:lang w:val="ru-RU"/>
        </w:rPr>
      </w:pPr>
      <w:r>
        <w:rPr>
          <w:rFonts w:ascii="Times New Roman" w:hAnsi="Times New Roman"/>
          <w:lang w:val="ru-RU"/>
        </w:rPr>
        <w:t xml:space="preserve">Том </w:t>
      </w:r>
      <w:r>
        <w:rPr>
          <w:rFonts w:ascii="Times New Roman" w:hAnsi="Times New Roman" w:hint="eastAsia"/>
          <w:lang w:val="ru-RU"/>
        </w:rPr>
        <w:t>9</w:t>
      </w:r>
      <w:r>
        <w:rPr>
          <w:rFonts w:ascii="Times New Roman" w:hAnsi="Times New Roman"/>
          <w:lang w:val="ru-RU"/>
        </w:rPr>
        <w:t xml:space="preserve">  № </w:t>
      </w:r>
      <w:r>
        <w:rPr>
          <w:rFonts w:ascii="Times New Roman" w:hAnsi="Times New Roman" w:hint="eastAsia"/>
          <w:lang w:val="ru-RU"/>
        </w:rPr>
        <w:t>6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 w:hint="eastAsia"/>
          <w:lang w:val="ru-RU"/>
        </w:rPr>
        <w:t>30</w:t>
      </w:r>
      <w:r>
        <w:rPr>
          <w:rFonts w:ascii="Times New Roman" w:hAnsi="Times New Roman"/>
          <w:lang w:val="ru-RU"/>
        </w:rPr>
        <w:t>-ое марта 202</w:t>
      </w:r>
      <w:r>
        <w:rPr>
          <w:rFonts w:ascii="Times New Roman" w:hAnsi="Times New Roman" w:hint="eastAsia"/>
          <w:lang w:val="ru-RU"/>
        </w:rPr>
        <w:t>1</w:t>
      </w:r>
      <w:r>
        <w:rPr>
          <w:rFonts w:ascii="Times New Roman" w:hAnsi="Times New Roman"/>
          <w:lang w:val="ru-RU"/>
        </w:rPr>
        <w:t xml:space="preserve"> г.</w:t>
      </w:r>
    </w:p>
    <w:p w:rsidR="00810F09" w:rsidRDefault="00810F09">
      <w:pPr>
        <w:snapToGrid w:val="0"/>
        <w:spacing w:line="300" w:lineRule="auto"/>
        <w:jc w:val="center"/>
        <w:rPr>
          <w:rFonts w:ascii="Times New Roman" w:hAnsi="Times New Roman"/>
          <w:lang w:val="ru-RU"/>
        </w:rPr>
      </w:pPr>
    </w:p>
    <w:p w:rsidR="00810F09" w:rsidRDefault="00810F09">
      <w:pPr>
        <w:widowControl/>
        <w:jc w:val="center"/>
        <w:rPr>
          <w:rFonts w:ascii="Times New Roman" w:hAnsi="Times New Roman"/>
          <w:lang w:val="ru-RU"/>
        </w:rPr>
      </w:pPr>
    </w:p>
    <w:p w:rsidR="00810F09" w:rsidRDefault="00810F09">
      <w:pPr>
        <w:widowControl/>
        <w:jc w:val="center"/>
        <w:rPr>
          <w:rFonts w:ascii="Times New Roman" w:hAnsi="Times New Roman"/>
          <w:lang w:val="ru-RU"/>
        </w:rPr>
      </w:pPr>
    </w:p>
    <w:p w:rsidR="00810F09" w:rsidRDefault="00F95FA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主办：石河子大学兵团屯垦戍边研究中心</w:t>
      </w:r>
    </w:p>
    <w:p w:rsidR="00810F09" w:rsidRDefault="00F95FA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承办：中亚文明与西向开放协同创新中心</w:t>
      </w:r>
    </w:p>
    <w:p w:rsidR="00810F09" w:rsidRDefault="00F95FAA">
      <w:pPr>
        <w:snapToGrid w:val="0"/>
        <w:spacing w:line="300" w:lineRule="auto"/>
        <w:jc w:val="center"/>
        <w:rPr>
          <w:rFonts w:ascii="Times New Roman" w:eastAsia="方正宋三简体" w:hAnsi="Times New Roman"/>
          <w:b/>
          <w:sz w:val="32"/>
          <w:szCs w:val="32"/>
          <w:lang w:val="ru-RU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“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一带一路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”</w:t>
      </w:r>
      <w:r>
        <w:rPr>
          <w:rFonts w:ascii="Times New Roman" w:eastAsia="方正宋三简体" w:hAnsi="Times New Roman"/>
          <w:b/>
          <w:sz w:val="32"/>
          <w:szCs w:val="32"/>
          <w:lang w:val="ru-RU"/>
        </w:rPr>
        <w:t>：新疆发展与中亚合作高校智库联盟</w:t>
      </w:r>
    </w:p>
    <w:p w:rsidR="00810F09" w:rsidRDefault="00F95FAA">
      <w:pPr>
        <w:tabs>
          <w:tab w:val="left" w:pos="3420"/>
        </w:tabs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协办：石河子大学丝绸之路研究中心</w:t>
      </w:r>
    </w:p>
    <w:p w:rsidR="00810F09" w:rsidRDefault="00F95FAA">
      <w:pPr>
        <w:snapToGrid w:val="0"/>
        <w:spacing w:line="300" w:lineRule="auto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 w:rsidR="00E7110A">
        <w:rPr>
          <w:rFonts w:ascii="Times New Roman" w:eastAsia="方正宋三简体" w:hAnsi="Times New Roman" w:hint="eastAsia"/>
          <w:b/>
          <w:sz w:val="32"/>
          <w:szCs w:val="32"/>
        </w:rPr>
        <w:t>中亚教育及人文交流研究中心</w:t>
      </w:r>
    </w:p>
    <w:p w:rsidR="00810F09" w:rsidRDefault="00F95FAA">
      <w:pPr>
        <w:snapToGrid w:val="0"/>
        <w:rPr>
          <w:rFonts w:ascii="Times New Roman" w:eastAsia="方正宋三简体" w:hAnsi="Times New Roman"/>
          <w:b/>
          <w:sz w:val="32"/>
          <w:szCs w:val="32"/>
        </w:rPr>
      </w:pPr>
      <w:r>
        <w:rPr>
          <w:rFonts w:ascii="Times New Roman" w:eastAsia="方正宋三简体" w:hAnsi="Times New Roman"/>
          <w:b/>
          <w:sz w:val="32"/>
          <w:szCs w:val="32"/>
        </w:rPr>
        <w:t xml:space="preserve">　　</w:t>
      </w:r>
      <w:r>
        <w:rPr>
          <w:rFonts w:ascii="Times New Roman" w:eastAsia="方正宋三简体" w:hAnsi="Times New Roman"/>
          <w:b/>
          <w:sz w:val="32"/>
          <w:szCs w:val="32"/>
        </w:rPr>
        <w:t xml:space="preserve">      </w:t>
      </w:r>
      <w:r>
        <w:rPr>
          <w:rFonts w:ascii="Times New Roman" w:eastAsia="方正宋三简体" w:hAnsi="Times New Roman"/>
          <w:b/>
          <w:sz w:val="32"/>
          <w:szCs w:val="32"/>
        </w:rPr>
        <w:t>石河子大学师范学院</w:t>
      </w:r>
    </w:p>
    <w:p w:rsidR="00810F09" w:rsidRDefault="00810F09">
      <w:pPr>
        <w:rPr>
          <w:rFonts w:ascii="Times New Roman" w:eastAsia="方正宋三简体" w:hAnsi="Times New Roman"/>
          <w:b/>
          <w:sz w:val="32"/>
          <w:szCs w:val="32"/>
        </w:rPr>
        <w:sectPr w:rsidR="00810F09">
          <w:headerReference w:type="default" r:id="rId8"/>
          <w:footerReference w:type="even" r:id="rId9"/>
          <w:footnotePr>
            <w:numFmt w:val="decimalEnclosedCircleChinese"/>
            <w:numRestart w:val="eachPage"/>
          </w:footnotePr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810F09" w:rsidRDefault="00810F09">
      <w:pPr>
        <w:rPr>
          <w:rFonts w:ascii="Times New Roman" w:eastAsia="方正宋三简体" w:hAnsi="Times New Roman"/>
          <w:b/>
          <w:sz w:val="32"/>
          <w:szCs w:val="32"/>
        </w:rPr>
      </w:pPr>
    </w:p>
    <w:p w:rsidR="00810F09" w:rsidRDefault="00810F09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10F09" w:rsidRDefault="00810F09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</w:p>
    <w:p w:rsidR="00810F09" w:rsidRDefault="00810F09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  <w:sectPr w:rsidR="00810F09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810F09" w:rsidRDefault="00F95FAA">
      <w:pPr>
        <w:snapToGrid w:val="0"/>
        <w:spacing w:line="360" w:lineRule="auto"/>
        <w:rPr>
          <w:rFonts w:ascii="Times New Roman" w:eastAsia="黑体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lastRenderedPageBreak/>
        <w:t>编委会成员：</w:t>
      </w:r>
    </w:p>
    <w:p w:rsidR="00810F09" w:rsidRDefault="00F95FAA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任：</w:t>
      </w:r>
      <w:r>
        <w:rPr>
          <w:rFonts w:ascii="宋体" w:hAnsi="宋体" w:cs="宋体" w:hint="eastAsia"/>
          <w:kern w:val="28"/>
          <w:sz w:val="30"/>
          <w:szCs w:val="30"/>
        </w:rPr>
        <w:t>夏文斌</w:t>
      </w:r>
    </w:p>
    <w:p w:rsidR="00810F09" w:rsidRDefault="00F95FA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副主任：</w:t>
      </w:r>
      <w:r>
        <w:rPr>
          <w:rFonts w:ascii="宋体" w:hAnsi="宋体" w:cs="宋体" w:hint="eastAsia"/>
          <w:kern w:val="28"/>
          <w:sz w:val="30"/>
          <w:szCs w:val="30"/>
        </w:rPr>
        <w:t>李豫新  凌建侯  沙德克江·阿不拉  谭跃超  杨兴全</w:t>
      </w:r>
    </w:p>
    <w:p w:rsidR="00810F09" w:rsidRDefault="00F95FAA">
      <w:pPr>
        <w:snapToGrid w:val="0"/>
        <w:spacing w:line="360" w:lineRule="auto"/>
        <w:rPr>
          <w:rFonts w:ascii="Times New Roman" w:hAnsi="Times New Roman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　　    陈荣泉  高  卉  王  力  张安军  赵红霞</w:t>
      </w:r>
    </w:p>
    <w:p w:rsidR="00810F09" w:rsidRDefault="00F95FA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主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编：</w:t>
      </w:r>
      <w:r>
        <w:rPr>
          <w:rFonts w:ascii="宋体" w:hAnsi="宋体" w:cs="宋体" w:hint="eastAsia"/>
          <w:kern w:val="28"/>
          <w:sz w:val="30"/>
          <w:szCs w:val="30"/>
        </w:rPr>
        <w:t>凌建侯</w:t>
      </w:r>
    </w:p>
    <w:p w:rsidR="00810F09" w:rsidRDefault="00F95FA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Times New Roman" w:eastAsia="黑体" w:hAnsi="Times New Roman"/>
          <w:kern w:val="28"/>
          <w:sz w:val="30"/>
          <w:szCs w:val="30"/>
        </w:rPr>
        <w:t>编</w:t>
      </w:r>
      <w:r>
        <w:rPr>
          <w:rFonts w:ascii="Times New Roman" w:eastAsia="黑体" w:hAnsi="Times New Roman"/>
          <w:kern w:val="28"/>
          <w:sz w:val="30"/>
          <w:szCs w:val="30"/>
        </w:rPr>
        <w:t xml:space="preserve">  </w:t>
      </w:r>
      <w:r>
        <w:rPr>
          <w:rFonts w:ascii="Times New Roman" w:eastAsia="黑体" w:hAnsi="Times New Roman"/>
          <w:kern w:val="28"/>
          <w:sz w:val="30"/>
          <w:szCs w:val="30"/>
        </w:rPr>
        <w:t>委：</w:t>
      </w:r>
      <w:r>
        <w:rPr>
          <w:rFonts w:ascii="宋体" w:hAnsi="宋体" w:cs="宋体" w:hint="eastAsia"/>
          <w:kern w:val="28"/>
          <w:sz w:val="30"/>
          <w:szCs w:val="30"/>
        </w:rPr>
        <w:t>张彦虎  朱江勇  方  忆  张凌燕  郭靖媛</w:t>
      </w:r>
    </w:p>
    <w:p w:rsidR="00810F09" w:rsidRDefault="00F95FAA">
      <w:pPr>
        <w:snapToGrid w:val="0"/>
        <w:spacing w:line="360" w:lineRule="auto"/>
        <w:rPr>
          <w:rFonts w:ascii="宋体" w:hAnsi="宋体" w:cs="宋体"/>
          <w:kern w:val="28"/>
          <w:sz w:val="30"/>
          <w:szCs w:val="30"/>
        </w:rPr>
      </w:pPr>
      <w:r>
        <w:rPr>
          <w:rFonts w:ascii="宋体" w:hAnsi="宋体" w:cs="宋体" w:hint="eastAsia"/>
          <w:kern w:val="28"/>
          <w:sz w:val="30"/>
          <w:szCs w:val="30"/>
        </w:rPr>
        <w:t xml:space="preserve">       </w:t>
      </w:r>
      <w:r>
        <w:rPr>
          <w:rFonts w:ascii="宋体" w:hAnsi="宋体" w:cs="宋体" w:hint="eastAsia"/>
          <w:kern w:val="28"/>
          <w:sz w:val="30"/>
          <w:szCs w:val="30"/>
          <w:lang w:val="ru-RU"/>
        </w:rPr>
        <w:t xml:space="preserve"> </w:t>
      </w:r>
      <w:r>
        <w:rPr>
          <w:rFonts w:ascii="宋体" w:hAnsi="宋体" w:cs="宋体" w:hint="eastAsia"/>
          <w:kern w:val="28"/>
          <w:sz w:val="30"/>
          <w:szCs w:val="30"/>
        </w:rPr>
        <w:t>刘  爽  杨  娜  段素霞  高婧文  张国娇</w:t>
      </w:r>
    </w:p>
    <w:p w:rsidR="00810F09" w:rsidRDefault="00810F09">
      <w:pPr>
        <w:rPr>
          <w:rFonts w:ascii="Times New Roman" w:hAnsi="Times New Roman"/>
        </w:rPr>
      </w:pPr>
    </w:p>
    <w:p w:rsidR="00810F09" w:rsidRDefault="00810F09">
      <w:pPr>
        <w:rPr>
          <w:rFonts w:ascii="宋体" w:hAnsi="宋体" w:cs="宋体"/>
          <w:sz w:val="24"/>
        </w:rPr>
      </w:pPr>
    </w:p>
    <w:p w:rsidR="00810F09" w:rsidRDefault="00F95FAA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br w:type="page"/>
      </w:r>
    </w:p>
    <w:p w:rsidR="00810F09" w:rsidRDefault="00F95FAA">
      <w:pPr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  <w:lang w:val="ru-RU"/>
        </w:rPr>
      </w:pP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  <w:lang w:val="ru-RU"/>
        </w:rPr>
        <w:lastRenderedPageBreak/>
        <w:t>目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 xml:space="preserve">  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  <w:lang w:val="ru-RU"/>
        </w:rPr>
        <w:t>录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FFFFFF" w:fill="D9D9D9"/>
        </w:rPr>
        <w:t>中亚与美国关系专题</w:t>
      </w:r>
      <w:r>
        <w:rPr>
          <w:rFonts w:ascii="黑体" w:eastAsia="黑体" w:hAnsi="黑体" w:cs="黑体" w:hint="eastAsia"/>
          <w:sz w:val="28"/>
          <w:szCs w:val="28"/>
        </w:rPr>
        <w:tab/>
        <w:t>1</w:t>
      </w:r>
      <w:r>
        <w:rPr>
          <w:rFonts w:ascii="黑体" w:eastAsia="黑体" w:hAnsi="黑体" w:cs="黑体" w:hint="eastAsia"/>
          <w:sz w:val="28"/>
          <w:szCs w:val="28"/>
        </w:rPr>
        <w:br/>
        <w:t>“C5+1”模式：美国与中亚的关系并不简单</w:t>
      </w:r>
      <w:r>
        <w:rPr>
          <w:rFonts w:ascii="黑体" w:eastAsia="黑体" w:hAnsi="黑体" w:cs="黑体" w:hint="eastAsia"/>
          <w:sz w:val="28"/>
          <w:szCs w:val="28"/>
        </w:rPr>
        <w:tab/>
        <w:t>1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拜登为何对乌兹别克斯坦乃至整个中亚感兴趣？</w:t>
      </w:r>
      <w:r>
        <w:rPr>
          <w:rFonts w:ascii="黑体" w:eastAsia="黑体" w:hAnsi="黑体" w:cs="黑体" w:hint="eastAsia"/>
          <w:sz w:val="28"/>
          <w:szCs w:val="28"/>
        </w:rPr>
        <w:tab/>
        <w:t>2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FFFFFF" w:fill="D9D9D9"/>
        </w:rPr>
        <w:t>中亚经贸新闻</w:t>
      </w:r>
      <w:r>
        <w:rPr>
          <w:rFonts w:ascii="黑体" w:eastAsia="黑体" w:hAnsi="黑体" w:cs="黑体" w:hint="eastAsia"/>
          <w:sz w:val="28"/>
          <w:szCs w:val="28"/>
        </w:rPr>
        <w:tab/>
        <w:t>5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俄罗斯停止进口哈萨克斯坦西红柿、辣椒被视为贸易壁垒</w:t>
      </w:r>
      <w:r>
        <w:rPr>
          <w:rFonts w:ascii="黑体" w:eastAsia="黑体" w:hAnsi="黑体" w:cs="黑体" w:hint="eastAsia"/>
          <w:sz w:val="28"/>
          <w:szCs w:val="28"/>
        </w:rPr>
        <w:tab/>
        <w:t>5</w:t>
      </w:r>
      <w:r>
        <w:rPr>
          <w:rFonts w:ascii="黑体" w:eastAsia="黑体" w:hAnsi="黑体" w:cs="黑体" w:hint="eastAsia"/>
          <w:sz w:val="28"/>
          <w:szCs w:val="28"/>
        </w:rPr>
        <w:br/>
        <w:t>吉尔吉斯斯坦政府出台了为期六个月的化肥出口禁令</w:t>
      </w:r>
      <w:r>
        <w:rPr>
          <w:rFonts w:ascii="黑体" w:eastAsia="黑体" w:hAnsi="黑体" w:cs="黑体" w:hint="eastAsia"/>
          <w:sz w:val="28"/>
          <w:szCs w:val="28"/>
        </w:rPr>
        <w:tab/>
        <w:t>6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乌兹别克斯坦将向吉尔吉斯斯坦提供小麦、棉花种子</w:t>
      </w:r>
      <w:r>
        <w:rPr>
          <w:rFonts w:ascii="黑体" w:eastAsia="黑体" w:hAnsi="黑体" w:cs="黑体" w:hint="eastAsia"/>
          <w:sz w:val="28"/>
          <w:szCs w:val="28"/>
        </w:rPr>
        <w:tab/>
        <w:t>6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土库曼斯坦和日本将加强合成汽油生产的合作</w:t>
      </w:r>
      <w:r>
        <w:rPr>
          <w:rFonts w:ascii="黑体" w:eastAsia="黑体" w:hAnsi="黑体" w:cs="黑体" w:hint="eastAsia"/>
          <w:sz w:val="28"/>
          <w:szCs w:val="28"/>
        </w:rPr>
        <w:tab/>
        <w:t>7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欧亚发展银行：吉尔吉斯斯坦经济危机可能进一步恶化</w:t>
      </w:r>
      <w:r>
        <w:rPr>
          <w:rFonts w:ascii="黑体" w:eastAsia="黑体" w:hAnsi="黑体" w:cs="黑体" w:hint="eastAsia"/>
          <w:sz w:val="28"/>
          <w:szCs w:val="28"/>
        </w:rPr>
        <w:tab/>
        <w:t>8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专家谈乌兹别克斯坦经济的阴暗面</w:t>
      </w:r>
      <w:r>
        <w:rPr>
          <w:rFonts w:ascii="黑体" w:eastAsia="黑体" w:hAnsi="黑体" w:cs="黑体" w:hint="eastAsia"/>
          <w:sz w:val="28"/>
          <w:szCs w:val="28"/>
        </w:rPr>
        <w:tab/>
        <w:t>9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FFFFFF" w:fill="D9D9D9"/>
        </w:rPr>
        <w:t>中亚教育资讯</w:t>
      </w:r>
      <w:r>
        <w:rPr>
          <w:rFonts w:ascii="黑体" w:eastAsia="黑体" w:hAnsi="黑体" w:cs="黑体" w:hint="eastAsia"/>
          <w:sz w:val="28"/>
          <w:szCs w:val="28"/>
        </w:rPr>
        <w:tab/>
        <w:t>11</w:t>
      </w:r>
    </w:p>
    <w:p w:rsidR="00810F09" w:rsidRDefault="00F95FAA">
      <w:pPr>
        <w:tabs>
          <w:tab w:val="right" w:leader="dot" w:pos="8190"/>
        </w:tabs>
        <w:snapToGrid w:val="0"/>
        <w:spacing w:line="30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哈萨克斯坦学生可以返回俄罗斯学习</w:t>
      </w:r>
      <w:r>
        <w:rPr>
          <w:rFonts w:ascii="黑体" w:eastAsia="黑体" w:hAnsi="黑体" w:cs="黑体" w:hint="eastAsia"/>
          <w:sz w:val="28"/>
          <w:szCs w:val="28"/>
        </w:rPr>
        <w:tab/>
        <w:t>11</w:t>
      </w:r>
      <w:r>
        <w:rPr>
          <w:rFonts w:ascii="黑体" w:eastAsia="黑体" w:hAnsi="黑体" w:cs="黑体" w:hint="eastAsia"/>
          <w:sz w:val="28"/>
          <w:szCs w:val="28"/>
        </w:rPr>
        <w:br/>
        <w:t>美国学者参与乌兹别克斯坦编制教学大纲</w:t>
      </w:r>
      <w:r>
        <w:rPr>
          <w:rFonts w:ascii="黑体" w:eastAsia="黑体" w:hAnsi="黑体" w:cs="黑体" w:hint="eastAsia"/>
          <w:sz w:val="28"/>
          <w:szCs w:val="28"/>
        </w:rPr>
        <w:tab/>
        <w:t>12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俄吉两国教育部长讨论教育合作项目</w:t>
      </w:r>
      <w:r>
        <w:rPr>
          <w:rFonts w:ascii="黑体" w:eastAsia="黑体" w:hAnsi="黑体" w:cs="黑体" w:hint="eastAsia"/>
          <w:sz w:val="28"/>
          <w:szCs w:val="28"/>
        </w:rPr>
        <w:tab/>
        <w:t>13</w:t>
      </w:r>
      <w:r>
        <w:rPr>
          <w:rFonts w:ascii="黑体" w:eastAsia="黑体" w:hAnsi="黑体" w:cs="黑体" w:hint="eastAsia"/>
          <w:sz w:val="28"/>
          <w:szCs w:val="28"/>
        </w:rPr>
        <w:br/>
        <w:t>俄教育部长：俄教师如何在吉尔吉斯斯坦执教？</w:t>
      </w:r>
      <w:r>
        <w:rPr>
          <w:rFonts w:ascii="黑体" w:eastAsia="黑体" w:hAnsi="黑体" w:cs="黑体" w:hint="eastAsia"/>
          <w:sz w:val="28"/>
          <w:szCs w:val="28"/>
        </w:rPr>
        <w:tab/>
        <w:t>14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哈萨克斯坦清查各高校不动产</w:t>
      </w:r>
      <w:r>
        <w:rPr>
          <w:rFonts w:ascii="黑体" w:eastAsia="黑体" w:hAnsi="黑体" w:cs="黑体" w:hint="eastAsia"/>
          <w:sz w:val="28"/>
          <w:szCs w:val="28"/>
        </w:rPr>
        <w:tab/>
        <w:t>16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FFFFFF" w:fill="D9D9D9"/>
        </w:rPr>
        <w:t>中亚社会新闻</w:t>
      </w:r>
      <w:r>
        <w:rPr>
          <w:rFonts w:ascii="黑体" w:eastAsia="黑体" w:hAnsi="黑体" w:cs="黑体" w:hint="eastAsia"/>
          <w:sz w:val="28"/>
          <w:szCs w:val="28"/>
        </w:rPr>
        <w:tab/>
        <w:t>17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引进拉丁文字母有助于哈萨克斯坦快速融入世界信息空间</w:t>
      </w:r>
      <w:r>
        <w:rPr>
          <w:rFonts w:ascii="黑体" w:eastAsia="黑体" w:hAnsi="黑体" w:cs="黑体" w:hint="eastAsia"/>
          <w:sz w:val="28"/>
          <w:szCs w:val="28"/>
        </w:rPr>
        <w:tab/>
        <w:t>17</w:t>
      </w:r>
    </w:p>
    <w:p w:rsidR="00810F09" w:rsidRDefault="00F95FAA">
      <w:pPr>
        <w:tabs>
          <w:tab w:val="right" w:leader="dot" w:pos="8190"/>
        </w:tabs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塔预计于五月份接收大量新冠疫苗</w:t>
      </w:r>
      <w:r>
        <w:rPr>
          <w:rFonts w:ascii="黑体" w:eastAsia="黑体" w:hAnsi="黑体" w:cs="黑体" w:hint="eastAsia"/>
          <w:sz w:val="28"/>
          <w:szCs w:val="28"/>
        </w:rPr>
        <w:tab/>
        <w:t>19</w:t>
      </w:r>
    </w:p>
    <w:p w:rsidR="00810F09" w:rsidRDefault="00F95FAA" w:rsidP="00F26DDD">
      <w:pPr>
        <w:tabs>
          <w:tab w:val="right" w:leader="dot" w:pos="8190"/>
        </w:tabs>
        <w:jc w:val="left"/>
      </w:pPr>
      <w:r>
        <w:rPr>
          <w:rFonts w:ascii="黑体" w:eastAsia="黑体" w:hAnsi="黑体" w:cs="黑体" w:hint="eastAsia"/>
          <w:b/>
          <w:bCs/>
          <w:sz w:val="28"/>
          <w:szCs w:val="28"/>
          <w:shd w:val="clear" w:color="FFFFFF" w:fill="D9D9D9"/>
        </w:rPr>
        <w:t>外汇牌价</w:t>
      </w:r>
      <w:r>
        <w:rPr>
          <w:rFonts w:ascii="黑体" w:eastAsia="黑体" w:hAnsi="黑体" w:cs="黑体" w:hint="eastAsia"/>
          <w:sz w:val="28"/>
          <w:szCs w:val="28"/>
        </w:rPr>
        <w:tab/>
        <w:t>21</w:t>
      </w:r>
    </w:p>
    <w:sectPr w:rsidR="00810F09" w:rsidSect="00F26DDD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2B5" w:rsidRDefault="008822B5" w:rsidP="00810F09">
      <w:r>
        <w:separator/>
      </w:r>
    </w:p>
  </w:endnote>
  <w:endnote w:type="continuationSeparator" w:id="0">
    <w:p w:rsidR="008822B5" w:rsidRDefault="008822B5" w:rsidP="0081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宋三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09" w:rsidRDefault="00F80C0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F95FAA">
      <w:rPr>
        <w:rStyle w:val="a5"/>
        <w:rFonts w:ascii="Times New Roman" w:hAnsi="Times New Roman"/>
      </w:rPr>
      <w:instrText xml:space="preserve">PAGE  </w:instrText>
    </w:r>
    <w:r>
      <w:fldChar w:fldCharType="end"/>
    </w:r>
  </w:p>
  <w:p w:rsidR="00810F09" w:rsidRDefault="00810F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09" w:rsidRDefault="00F80C0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 filled="f" stroked="f" strokeweight=".5pt">
          <v:textbox style="mso-fit-shape-to-text:t" inset="0,0,0,0">
            <w:txbxContent>
              <w:p w:rsidR="00810F09" w:rsidRDefault="00F95FAA">
                <w:pPr>
                  <w:pStyle w:val="a3"/>
                  <w:rPr>
                    <w:rFonts w:ascii="宋体" w:eastAsia="宋体" w:hAnsi="宋体" w:cs="宋体"/>
                  </w:rPr>
                </w:pPr>
                <w:r>
                  <w:rPr>
                    <w:rFonts w:ascii="宋体" w:eastAsia="宋体" w:hAnsi="宋体" w:cs="宋体" w:hint="eastAsia"/>
                  </w:rPr>
                  <w:t>·</w:t>
                </w:r>
                <w:r w:rsidR="00F80C04"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 w:rsidR="00F80C04"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F26DDD">
                  <w:rPr>
                    <w:rFonts w:ascii="宋体" w:eastAsia="宋体" w:hAnsi="宋体" w:cs="宋体"/>
                    <w:noProof/>
                  </w:rPr>
                  <w:t>1</w:t>
                </w:r>
                <w:r w:rsidR="00F80C04"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>·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2B5" w:rsidRDefault="008822B5" w:rsidP="00810F09">
      <w:r>
        <w:separator/>
      </w:r>
    </w:p>
  </w:footnote>
  <w:footnote w:type="continuationSeparator" w:id="0">
    <w:p w:rsidR="008822B5" w:rsidRDefault="008822B5" w:rsidP="0081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09" w:rsidRDefault="00810F09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3E4C"/>
    <w:rsid w:val="000B7436"/>
    <w:rsid w:val="002F593C"/>
    <w:rsid w:val="0037596B"/>
    <w:rsid w:val="00472A56"/>
    <w:rsid w:val="00480024"/>
    <w:rsid w:val="004A3E4C"/>
    <w:rsid w:val="004F10E3"/>
    <w:rsid w:val="00606CEC"/>
    <w:rsid w:val="006352B2"/>
    <w:rsid w:val="006669DB"/>
    <w:rsid w:val="00810F09"/>
    <w:rsid w:val="008822B5"/>
    <w:rsid w:val="00A96386"/>
    <w:rsid w:val="00AF36DD"/>
    <w:rsid w:val="00B823F1"/>
    <w:rsid w:val="00CC46D1"/>
    <w:rsid w:val="00DA4E01"/>
    <w:rsid w:val="00DF7EA2"/>
    <w:rsid w:val="00E7110A"/>
    <w:rsid w:val="00EA641B"/>
    <w:rsid w:val="00F13D95"/>
    <w:rsid w:val="00F23C28"/>
    <w:rsid w:val="00F26DDD"/>
    <w:rsid w:val="00F80C04"/>
    <w:rsid w:val="00F83579"/>
    <w:rsid w:val="00F83C01"/>
    <w:rsid w:val="00F95FAA"/>
    <w:rsid w:val="00FF1DC2"/>
    <w:rsid w:val="06BA64D1"/>
    <w:rsid w:val="23D307CF"/>
    <w:rsid w:val="44EA4346"/>
    <w:rsid w:val="49CF54EF"/>
    <w:rsid w:val="4A2A51A2"/>
    <w:rsid w:val="4BF757F4"/>
    <w:rsid w:val="5CA817CE"/>
    <w:rsid w:val="5FDB2F12"/>
    <w:rsid w:val="7FA0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0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10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10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qFormat/>
    <w:rsid w:val="00810F09"/>
  </w:style>
  <w:style w:type="character" w:styleId="a6">
    <w:name w:val="Hyperlink"/>
    <w:basedOn w:val="a0"/>
    <w:qFormat/>
    <w:rsid w:val="00810F0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810F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10F09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10F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 yd</dc:creator>
  <cp:lastModifiedBy>Administrator</cp:lastModifiedBy>
  <cp:revision>12</cp:revision>
  <dcterms:created xsi:type="dcterms:W3CDTF">2021-03-31T13:02:00Z</dcterms:created>
  <dcterms:modified xsi:type="dcterms:W3CDTF">2021-04-08T08:29:00Z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335865016_btnclosed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9D6FA17372CF47FAA65AB089994AB30E</vt:lpwstr>
  </property>
</Properties>
</file>