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after="240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>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60288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mpVG3RAAAABQEAAA8A&#10;AAAAAAAAAQAgAAAAIgAAAGRycy9kb3ducmV2LnhtbFBLAQIUABQAAAAIAIdO4kAjF8Ew5QEAAKkD&#10;AAAOAAAAAAAAAAEAIAAAACABAABkcnMvZTJvRG9jLnhtbFBLBQYAAAAABgAGAFkBAAB3BQAAAAA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spacing w:line="360" w:lineRule="auto"/>
        <w:rPr>
          <w:rFonts w:hint="eastAsia" w:eastAsia="方正正中黑简体"/>
          <w:bCs/>
          <w:sz w:val="24"/>
          <w:lang w:val="ru-RU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中亚教育研究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土库曼斯坦高等教育的转型：当前新大学面临的机遇与挑战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</w:t>
      </w:r>
    </w:p>
    <w:p>
      <w:pPr>
        <w:tabs>
          <w:tab w:val="right" w:leader="dot" w:pos="9030"/>
        </w:tabs>
        <w:spacing w:line="360" w:lineRule="auto"/>
        <w:rPr>
          <w:rFonts w:hint="eastAsia"/>
          <w:lang w:val="zh-CN"/>
        </w:rPr>
      </w:pPr>
      <w:r>
        <w:rPr>
          <w:rFonts w:hint="eastAsia"/>
          <w:szCs w:val="21"/>
        </w:rPr>
        <w:t>浅谈哈萨克斯坦军事教育</w:t>
      </w:r>
      <w:r>
        <w:rPr>
          <w:rFonts w:hint="eastAsia"/>
          <w:szCs w:val="21"/>
          <w:lang w:val="zh-CN"/>
        </w:rPr>
        <w:tab/>
      </w:r>
      <w:r>
        <w:rPr>
          <w:rFonts w:hint="eastAsia"/>
          <w:szCs w:val="21"/>
          <w:lang w:val="zh-CN"/>
        </w:rPr>
        <w:t>13</w:t>
      </w:r>
    </w:p>
    <w:p>
      <w:pPr>
        <w:tabs>
          <w:tab w:val="left" w:pos="6720"/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中亚苏联史研究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法蒂玛•加比托娃：苏联哈萨克斯坦的镇压、主体性和历史记忆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18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乌兹别克斯坦的集体化回忆:斯大林主义和地方激进主义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28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760085" cy="0"/>
            <wp:effectExtent l="0" t="0" r="0" b="0"/>
            <wp:wrapNone/>
            <wp:docPr id="3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中亚政治研究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 w:ascii="宋体" w:hAnsi="宋体"/>
        </w:rPr>
        <w:t>斯大林主义的空间等级：苏维埃经济区划下的哈萨克人和吉尔吉斯人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39</w:t>
      </w:r>
    </w:p>
    <w:p>
      <w:pPr>
        <w:tabs>
          <w:tab w:val="right" w:leader="dot" w:pos="9030"/>
        </w:tabs>
        <w:spacing w:line="360" w:lineRule="auto"/>
        <w:rPr>
          <w:kern w:val="0"/>
          <w:szCs w:val="21"/>
          <w:lang w:val="zh-CN"/>
        </w:rPr>
      </w:pPr>
      <w:r>
        <w:rPr>
          <w:rFonts w:hint="eastAsia" w:ascii="宋体" w:hAnsi="宋体"/>
        </w:rPr>
        <w:t>阿富汗的强制能力、土地改革与政治秩序（一）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52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760085" cy="0"/>
            <wp:effectExtent l="0" t="0" r="0" b="0"/>
            <wp:wrapNone/>
            <wp:docPr id="3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中亚安全研究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吉尔吉斯斯坦的非正式定居地：因泰马克（Yntymak）及政治的作用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60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</w:rPr>
        <w:t>塔吉克斯坦反极端主义、暴力和独裁统治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73</w:t>
      </w: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widowControl/>
        <w:jc w:val="left"/>
        <w:rPr>
          <w:rFonts w:hint="eastAsia"/>
        </w:rPr>
      </w:pP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bookmarkStart w:id="0" w:name="_GoBack"/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5760085" cy="0"/>
                <wp:effectExtent l="0" t="28575" r="5715" b="3492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0.5pt;height:0pt;width:453.55pt;z-index:251661312;mso-width-relative:page;mso-height-relative:page;" filled="f" stroked="t" coordsize="21600,21600" o:gfxdata="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cSXzzXAAAA&#10;BwEAAA8AAAAAAAAAAQAgAAAAIgAAAGRycy9kb3ducmV2LnhtbFBLAQIUABQAAAAIAIdO4kDunO1h&#10;5QEAAKkDAAAOAAAAAAAAAAEAIAAAACYBAABkcnMvZTJvRG9jLnhtbFBLBQYAAAAABgAGAFkBAAB9&#10;BQAA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  <w:r>
        <w:rPr>
          <w:rFonts w:eastAsia="方正正中黑简体"/>
          <w:bCs/>
          <w:sz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24"/>
        </w:rPr>
      </w:pPr>
      <w:r>
        <w:rPr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spacing w:after="120" w:afterLines="50"/>
        <w:jc w:val="right"/>
      </w:pP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卷（总第</w:t>
      </w:r>
      <w:r>
        <w:rPr>
          <w:rFonts w:hint="eastAsia" w:ascii="宋体" w:hAnsi="宋体"/>
          <w:sz w:val="28"/>
          <w:szCs w:val="28"/>
        </w:rPr>
        <w:t>21</w:t>
      </w:r>
      <w:r>
        <w:rPr>
          <w:rFonts w:ascii="宋体" w:hAnsi="宋体"/>
          <w:sz w:val="28"/>
          <w:szCs w:val="28"/>
        </w:rPr>
        <w:t>期）</w: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jc w:val="right"/>
        <w:rPr>
          <w:rFonts w:hint="eastAsia"/>
          <w:sz w:val="28"/>
          <w:szCs w:val="28"/>
        </w:rPr>
      </w:pPr>
      <w:r>
        <w:rPr>
          <w:rFonts w:hint="eastAsia" w:hAnsi="Calibri"/>
          <w:sz w:val="72"/>
          <w:szCs w:val="72"/>
        </w:rPr>
        <w:t xml:space="preserve"> </w:t>
      </w:r>
      <w:r>
        <w:rPr>
          <w:rFonts w:hint="eastAsia" w:hAnsi="Calibri"/>
          <w:sz w:val="28"/>
          <w:szCs w:val="28"/>
        </w:rPr>
        <w:t xml:space="preserve">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63360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mpVG3RAAAABQEAAA8A&#10;AAAAAAAAAQAgAAAAIgAAAGRycy9kb3ducmV2LnhtbFBLAQIUABQAAAAIAIdO4kA0mXA85QEAAKkD&#10;AAAOAAAAAAAAAAEAIAAAACABAABkcnMvZTJvRG9jLnhtbFBLBQYAAAAABgAGAFkBAAB3BQAAAAA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中亚文化研究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从阿契美尼德到索莫尼:杜尚别国会大厦建筑景观中的国家认同和图像性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87</w:t>
      </w:r>
    </w:p>
    <w:p>
      <w:pPr>
        <w:tabs>
          <w:tab w:val="right" w:leader="dot" w:pos="9030"/>
        </w:tabs>
        <w:spacing w:line="360" w:lineRule="auto"/>
        <w:rPr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</w:rPr>
        <w:t>19世纪20至30年代哈萨克族游牧政治文化背景下哈俄关系准则及现状研究(一)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62336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bSZNNMAAAACAQAA&#10;DwAAAAAAAAABACAAAAAiAAAAZHJzL2Rvd25yZXYueG1sUEsBAhQAFAAAAAgAh07iQPkSXG3lAQAA&#10;qQMAAA4AAAAAAAAAAQAgAAAAIgEAAGRycy9lMm9Eb2MueG1sUEsFBgAAAAAGAAYAWQEAAHkFAAAA&#10;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rFonts w:hAnsi="Calibri"/>
          <w:szCs w:val="22"/>
        </w:rPr>
        <w:t>执行主编：凌建侯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校</w:t>
      </w:r>
      <w:r>
        <w:rPr>
          <w:szCs w:val="22"/>
        </w:rPr>
        <w:t xml:space="preserve">    </w:t>
      </w:r>
      <w:r>
        <w:rPr>
          <w:rFonts w:hAnsi="Calibri"/>
          <w:szCs w:val="22"/>
        </w:rPr>
        <w:t>对：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</w:t>
      </w:r>
      <w:r>
        <w:rPr>
          <w:rFonts w:hint="eastAsia" w:hAnsi="Calibri"/>
          <w:szCs w:val="22"/>
        </w:rPr>
        <w:t>肖楚舟</w:t>
      </w:r>
    </w:p>
    <w:p>
      <w:pPr>
        <w:snapToGrid w:val="0"/>
        <w:spacing w:line="336" w:lineRule="auto"/>
        <w:jc w:val="center"/>
        <w:rPr>
          <w:rFonts w:hAnsi="Calibri"/>
          <w:szCs w:val="2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footnotePr>
            <w:numFmt w:val="chicago"/>
            <w:numRestart w:val="eachPage"/>
          </w:footnotePr>
          <w:pgSz w:w="11907" w:h="16840"/>
          <w:pgMar w:top="1701" w:right="1418" w:bottom="1418" w:left="1418" w:header="1701" w:footer="1134" w:gutter="0"/>
          <w:cols w:space="720" w:num="1"/>
          <w:docGrid w:linePitch="360" w:charSpace="0"/>
        </w:sectPr>
      </w:pPr>
      <w:r>
        <w:rPr>
          <w:rFonts w:hAnsi="Calibri"/>
          <w:szCs w:val="22"/>
        </w:rPr>
        <w:t>执行编辑：</w:t>
      </w:r>
      <w:r>
        <w:rPr>
          <w:rFonts w:hint="eastAsia" w:hAnsi="Calibri"/>
          <w:szCs w:val="22"/>
        </w:rPr>
        <w:t>张凌燕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外文译校：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、凌建侯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515"/>
    <w:rsid w:val="0FE65950"/>
    <w:rsid w:val="138B64EF"/>
    <w:rsid w:val="16C86515"/>
    <w:rsid w:val="730C219A"/>
    <w:rsid w:val="767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2020-08-25T02:57:00Z</dcterms:created>
  <dc:creator>buling</dc:creator>
  <cp:lastModifiedBy>buling</cp:lastModifiedBy>
  <dcterms:modified xsi:type="dcterms:W3CDTF">2020-08-25T03:02:09Z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