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B" w:rsidRDefault="003C2DBB">
      <w:pPr>
        <w:rPr>
          <w:rFonts w:ascii="Times New Roman" w:hAnsi="Times New Roman" w:cs="Times New Roman"/>
        </w:rPr>
      </w:pPr>
    </w:p>
    <w:p w:rsidR="003C2DBB" w:rsidRDefault="00CC6E45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DBB" w:rsidRDefault="003C2DBB">
      <w:pPr>
        <w:rPr>
          <w:rFonts w:ascii="Times New Roman" w:hAnsi="Times New Roman" w:cs="Times New Roman"/>
        </w:rPr>
      </w:pPr>
    </w:p>
    <w:p w:rsidR="003C2DBB" w:rsidRDefault="003C2DBB">
      <w:pPr>
        <w:rPr>
          <w:rFonts w:ascii="Times New Roman" w:hAnsi="Times New Roman" w:cs="Times New Roman"/>
        </w:rPr>
      </w:pPr>
    </w:p>
    <w:p w:rsidR="003C2DBB" w:rsidRDefault="003C2DBB">
      <w:pPr>
        <w:rPr>
          <w:rFonts w:ascii="Times New Roman" w:hAnsi="Times New Roman" w:cs="Times New Roman"/>
        </w:rPr>
      </w:pPr>
    </w:p>
    <w:p w:rsidR="003C2DBB" w:rsidRDefault="003C2DBB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3C2DBB" w:rsidRDefault="00CC6E45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3C2DBB" w:rsidRDefault="003C2DB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C2DBB" w:rsidRDefault="00CC6E45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《丝绸之路经济带与中亚研究》副刊</w:t>
      </w:r>
    </w:p>
    <w:p w:rsidR="003C2DBB" w:rsidRDefault="00CC6E4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3C2DBB" w:rsidRDefault="00CC6E45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3C2DBB" w:rsidRDefault="00CC6E45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9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 w:hint="eastAsia"/>
          <w:sz w:val="32"/>
          <w:szCs w:val="32"/>
        </w:rPr>
        <w:t>20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2021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10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sz w:val="32"/>
          <w:szCs w:val="32"/>
        </w:rPr>
        <w:t>31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3C2DBB" w:rsidRDefault="003C2DBB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3C2DBB" w:rsidRDefault="003C2DBB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3C2DBB" w:rsidRDefault="00CC6E45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Экспресс-новости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из регионов Центральной Азии</w:t>
      </w:r>
    </w:p>
    <w:p w:rsidR="003C2DBB" w:rsidRDefault="003C2DBB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3C2DBB" w:rsidRDefault="00CC6E45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3C2DBB" w:rsidRDefault="00CC6E45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3C2DBB" w:rsidRDefault="00CC6E45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</w:t>
      </w:r>
      <w:r>
        <w:rPr>
          <w:rFonts w:ascii="Times New Roman" w:hAnsi="Times New Roman" w:cs="Times New Roman"/>
          <w:lang w:val="ru-RU"/>
        </w:rPr>
        <w:t>я с 2010 года</w:t>
      </w:r>
    </w:p>
    <w:p w:rsidR="003C2DBB" w:rsidRDefault="00CC6E45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9  № 20  31-ое октября 2021 г.</w:t>
      </w:r>
    </w:p>
    <w:p w:rsidR="003C2DBB" w:rsidRDefault="003C2DBB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3C2DBB" w:rsidRDefault="003C2DBB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3C2DBB" w:rsidRDefault="003C2DBB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3C2DBB" w:rsidRDefault="00CC6E45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3C2DBB" w:rsidRDefault="00CC6E45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3C2DBB" w:rsidRDefault="00CC6E45">
      <w:pPr>
        <w:snapToGrid w:val="0"/>
        <w:spacing w:line="300" w:lineRule="auto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3C2DBB" w:rsidRDefault="00CC6E45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3C2DBB" w:rsidRDefault="00CC6E45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3C2DBB" w:rsidRDefault="00CC6E45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3C2DBB" w:rsidRDefault="003C2DBB">
      <w:pPr>
        <w:rPr>
          <w:rFonts w:ascii="Times New Roman" w:eastAsia="方正宋三简体" w:hAnsi="Times New Roman" w:cs="Times New Roman"/>
          <w:b/>
          <w:color w:val="FF0000"/>
          <w:sz w:val="32"/>
          <w:szCs w:val="32"/>
        </w:rPr>
        <w:sectPr w:rsidR="003C2DBB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0"/>
          <w:docGrid w:type="lines" w:linePitch="312"/>
        </w:sectPr>
      </w:pPr>
    </w:p>
    <w:p w:rsidR="003C2DBB" w:rsidRDefault="003C2DBB">
      <w:pPr>
        <w:rPr>
          <w:rFonts w:ascii="Times New Roman" w:eastAsia="方正宋三简体" w:hAnsi="Times New Roman" w:cs="Times New Roman"/>
          <w:b/>
          <w:color w:val="000000"/>
          <w:sz w:val="32"/>
          <w:szCs w:val="32"/>
        </w:rPr>
      </w:pPr>
    </w:p>
    <w:p w:rsidR="003C2DBB" w:rsidRDefault="003C2DBB">
      <w:pPr>
        <w:snapToGrid w:val="0"/>
        <w:spacing w:line="360" w:lineRule="auto"/>
        <w:rPr>
          <w:rFonts w:ascii="Times New Roman" w:eastAsia="黑体" w:hAnsi="Times New Roman" w:cs="Times New Roman"/>
          <w:color w:val="000000"/>
          <w:kern w:val="28"/>
          <w:sz w:val="30"/>
          <w:szCs w:val="30"/>
        </w:rPr>
      </w:pPr>
    </w:p>
    <w:p w:rsidR="003C2DBB" w:rsidRDefault="003C2DBB">
      <w:pPr>
        <w:snapToGrid w:val="0"/>
        <w:spacing w:line="360" w:lineRule="auto"/>
        <w:rPr>
          <w:rFonts w:ascii="Times New Roman" w:eastAsia="黑体" w:hAnsi="Times New Roman" w:cs="Times New Roman"/>
          <w:color w:val="000000"/>
          <w:kern w:val="28"/>
          <w:sz w:val="30"/>
          <w:szCs w:val="30"/>
        </w:rPr>
      </w:pPr>
    </w:p>
    <w:p w:rsidR="003C2DBB" w:rsidRDefault="00CC6E45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3C2DBB" w:rsidRDefault="00CC6E4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3C2DBB" w:rsidRDefault="00CC6E4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3C2DBB" w:rsidRDefault="00CC6E45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3C2DBB" w:rsidRDefault="00CC6E45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3C2DBB" w:rsidRDefault="00CC6E4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编：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</w:p>
    <w:p w:rsidR="003C2DBB" w:rsidRDefault="00CC6E4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委：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郭靖媛</w:t>
      </w:r>
    </w:p>
    <w:p w:rsidR="003C2DBB" w:rsidRDefault="00CC6E4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      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高婧文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张国娇</w:t>
      </w:r>
    </w:p>
    <w:p w:rsidR="003C2DBB" w:rsidRDefault="00CC6E45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br w:type="page"/>
      </w:r>
    </w:p>
    <w:p w:rsidR="003C2DBB" w:rsidRDefault="00CC6E45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3C2DBB" w:rsidRDefault="003C2DBB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中亚抗疫资讯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哈萨克斯坦首席医生签署最新疫情防控令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美国援助哈萨克斯坦</w:t>
      </w:r>
      <w:r>
        <w:rPr>
          <w:rFonts w:ascii="Times New Roman" w:eastAsia="黑体" w:hAnsi="Times New Roman" w:cs="Times New Roman"/>
          <w:sz w:val="28"/>
          <w:szCs w:val="28"/>
        </w:rPr>
        <w:t>240</w:t>
      </w:r>
      <w:r>
        <w:rPr>
          <w:rFonts w:ascii="Times New Roman" w:eastAsia="黑体" w:hAnsi="Times New Roman" w:cs="Times New Roman"/>
          <w:sz w:val="28"/>
          <w:szCs w:val="28"/>
        </w:rPr>
        <w:t>万美元抗击新冠肺炎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医生评论新冠疫苗加强针效果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土库曼斯坦新冠死亡病例累计达</w:t>
      </w:r>
      <w:r>
        <w:rPr>
          <w:rFonts w:ascii="Times New Roman" w:eastAsia="黑体" w:hAnsi="Times New Roman" w:cs="Times New Roman"/>
          <w:sz w:val="28"/>
          <w:szCs w:val="28"/>
        </w:rPr>
        <w:t>25000</w:t>
      </w:r>
      <w:r>
        <w:rPr>
          <w:rFonts w:ascii="Times New Roman" w:eastAsia="黑体" w:hAnsi="Times New Roman" w:cs="Times New Roman"/>
          <w:sz w:val="28"/>
          <w:szCs w:val="28"/>
        </w:rPr>
        <w:t>例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4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中亚政经新闻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6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土库曼斯坦与欧盟国家拟增加贸易额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6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展望乌兹别克斯坦</w:t>
      </w:r>
      <w:r>
        <w:rPr>
          <w:rFonts w:ascii="Times New Roman" w:eastAsia="黑体" w:hAnsi="Times New Roman" w:cs="Times New Roman"/>
          <w:sz w:val="28"/>
          <w:szCs w:val="28"/>
        </w:rPr>
        <w:t>——</w:t>
      </w:r>
      <w:r>
        <w:rPr>
          <w:rFonts w:ascii="Times New Roman" w:eastAsia="黑体" w:hAnsi="Times New Roman" w:cs="Times New Roman"/>
          <w:sz w:val="28"/>
          <w:szCs w:val="28"/>
        </w:rPr>
        <w:t>欧亚经济联盟经济合作新前景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6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纳扎尔巴耶夫称亚洲为全球发展最快地区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8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总统选举将有助于乌兹别克斯坦进行民主改革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9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经合组织召开能源、水和土地资源会议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10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国家银行解释坚戈对卢布不断贬值的原因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12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  <w:lang w:val="ru-RU"/>
        </w:rPr>
        <w:t>塔吉克斯坦暂停向外国市场供应黄金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  <w:lang w:val="ru-RU"/>
        </w:rPr>
        <w:t>欧亚经济联盟对外贸易额超疫情前水平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t>4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中亚语言状况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16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吉尔吉斯斯坦近半数家长选择俄语学校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16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  <w:lang w:val="ru-RU"/>
        </w:rPr>
        <w:t>米尔济约耶夫呼吁提高民众对乌兹别克语的兴趣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17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乌兹别克斯坦俄语授课中小学数量并未减少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18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中亚社会视窗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19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土库曼斯坦影片参展哈萨克斯坦国际电影节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19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被遣返的劳务移民将重返俄罗斯？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20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  <w:lang w:val="ru-RU"/>
        </w:rPr>
        <w:t>环保人士在土库曼斯坦发现最大甲烷泄漏点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23</w:t>
      </w:r>
    </w:p>
    <w:p w:rsidR="003C2DBB" w:rsidRDefault="00CC6E45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哈萨克斯坦国家统计局回应人口普查问题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24</w:t>
      </w:r>
    </w:p>
    <w:p w:rsidR="003C2DBB" w:rsidRDefault="00CC6E45" w:rsidP="00E766B9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26</w:t>
      </w:r>
    </w:p>
    <w:sectPr w:rsidR="003C2DBB" w:rsidSect="00E766B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45" w:rsidRDefault="00CC6E45" w:rsidP="003C2DBB">
      <w:r>
        <w:separator/>
      </w:r>
    </w:p>
  </w:endnote>
  <w:endnote w:type="continuationSeparator" w:id="0">
    <w:p w:rsidR="00CC6E45" w:rsidRDefault="00CC6E45" w:rsidP="003C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大黑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宋三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BB" w:rsidRDefault="003C2DBB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CC6E45">
      <w:rPr>
        <w:rStyle w:val="a6"/>
        <w:rFonts w:ascii="Times New Roman" w:hAnsi="Times New Roman"/>
      </w:rPr>
      <w:instrText xml:space="preserve">PAGE  </w:instrText>
    </w:r>
    <w:r>
      <w:fldChar w:fldCharType="end"/>
    </w:r>
  </w:p>
  <w:p w:rsidR="003C2DBB" w:rsidRDefault="003C2D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BB" w:rsidRDefault="003C2D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stroked="f" strokeweight=".5pt">
          <v:textbox style="mso-fit-shape-to-text:t" inset="0,0,0,0">
            <w:txbxContent>
              <w:p w:rsidR="003C2DBB" w:rsidRDefault="003C2DBB">
                <w:pPr>
                  <w:pStyle w:val="a3"/>
                </w:pPr>
                <w:r>
                  <w:fldChar w:fldCharType="begin"/>
                </w:r>
                <w:r w:rsidR="00CC6E45">
                  <w:instrText xml:space="preserve"> PAGE  \* MERGEFORMAT </w:instrText>
                </w:r>
                <w:r>
                  <w:fldChar w:fldCharType="separate"/>
                </w:r>
                <w:r w:rsidR="00E766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45" w:rsidRDefault="00CC6E45" w:rsidP="003C2DBB">
      <w:r>
        <w:separator/>
      </w:r>
    </w:p>
  </w:footnote>
  <w:footnote w:type="continuationSeparator" w:id="0">
    <w:p w:rsidR="00CC6E45" w:rsidRDefault="00CC6E45" w:rsidP="003C2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BB" w:rsidRDefault="003C2DBB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92E"/>
    <w:rsid w:val="00007BF1"/>
    <w:rsid w:val="0021705B"/>
    <w:rsid w:val="003125FF"/>
    <w:rsid w:val="00334985"/>
    <w:rsid w:val="003C2DBB"/>
    <w:rsid w:val="005123EF"/>
    <w:rsid w:val="006D62B4"/>
    <w:rsid w:val="006F71D5"/>
    <w:rsid w:val="00733DDA"/>
    <w:rsid w:val="007A6A93"/>
    <w:rsid w:val="00834D13"/>
    <w:rsid w:val="00847AF6"/>
    <w:rsid w:val="00893804"/>
    <w:rsid w:val="00A21F99"/>
    <w:rsid w:val="00AA5560"/>
    <w:rsid w:val="00AF36DD"/>
    <w:rsid w:val="00B218C9"/>
    <w:rsid w:val="00B74B85"/>
    <w:rsid w:val="00B8592E"/>
    <w:rsid w:val="00C109FD"/>
    <w:rsid w:val="00CC6E45"/>
    <w:rsid w:val="00E766B9"/>
    <w:rsid w:val="00ED41A9"/>
    <w:rsid w:val="00F34C90"/>
    <w:rsid w:val="00FE030F"/>
    <w:rsid w:val="00FF1DC2"/>
    <w:rsid w:val="057424E7"/>
    <w:rsid w:val="08593CE6"/>
    <w:rsid w:val="0A7B1C74"/>
    <w:rsid w:val="0C31624E"/>
    <w:rsid w:val="0F1E051E"/>
    <w:rsid w:val="0F3A14C2"/>
    <w:rsid w:val="113A1E6A"/>
    <w:rsid w:val="151D6281"/>
    <w:rsid w:val="15423DCB"/>
    <w:rsid w:val="17DD724F"/>
    <w:rsid w:val="17F34BEC"/>
    <w:rsid w:val="186D43F6"/>
    <w:rsid w:val="189D524B"/>
    <w:rsid w:val="1D264DF9"/>
    <w:rsid w:val="1D8073E5"/>
    <w:rsid w:val="1FE951BB"/>
    <w:rsid w:val="1FFB0C3A"/>
    <w:rsid w:val="20E4414C"/>
    <w:rsid w:val="21114BE2"/>
    <w:rsid w:val="249C252E"/>
    <w:rsid w:val="24C04037"/>
    <w:rsid w:val="25D8621E"/>
    <w:rsid w:val="27AC27D9"/>
    <w:rsid w:val="2BF01B29"/>
    <w:rsid w:val="2C91647A"/>
    <w:rsid w:val="2DEB007E"/>
    <w:rsid w:val="2E4A0E50"/>
    <w:rsid w:val="2F9D3F7F"/>
    <w:rsid w:val="322A420A"/>
    <w:rsid w:val="328B07B1"/>
    <w:rsid w:val="37AA67D0"/>
    <w:rsid w:val="37C66B74"/>
    <w:rsid w:val="38C87A74"/>
    <w:rsid w:val="3DFD1D77"/>
    <w:rsid w:val="4DA81160"/>
    <w:rsid w:val="50646F9B"/>
    <w:rsid w:val="50A92196"/>
    <w:rsid w:val="50AC76AC"/>
    <w:rsid w:val="52A60DDC"/>
    <w:rsid w:val="53D249C0"/>
    <w:rsid w:val="5CF83A1B"/>
    <w:rsid w:val="5F8730F1"/>
    <w:rsid w:val="5FB64CC1"/>
    <w:rsid w:val="626F74BB"/>
    <w:rsid w:val="65B03918"/>
    <w:rsid w:val="667E1506"/>
    <w:rsid w:val="69042632"/>
    <w:rsid w:val="6D1233F8"/>
    <w:rsid w:val="6ED04977"/>
    <w:rsid w:val="73AA6E39"/>
    <w:rsid w:val="76E13CA0"/>
    <w:rsid w:val="78441E09"/>
    <w:rsid w:val="787F421E"/>
    <w:rsid w:val="7E656B13"/>
    <w:rsid w:val="7F2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2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C2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C2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qFormat/>
    <w:rsid w:val="003C2DBB"/>
  </w:style>
  <w:style w:type="character" w:styleId="a7">
    <w:name w:val="Hyperlink"/>
    <w:basedOn w:val="a0"/>
    <w:qFormat/>
    <w:rsid w:val="003C2D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C2D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2DBB"/>
    <w:rPr>
      <w:sz w:val="18"/>
      <w:szCs w:val="18"/>
    </w:rPr>
  </w:style>
  <w:style w:type="paragraph" w:styleId="a8">
    <w:name w:val="List Paragraph"/>
    <w:basedOn w:val="a"/>
    <w:uiPriority w:val="34"/>
    <w:qFormat/>
    <w:rsid w:val="003C2D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11</cp:revision>
  <dcterms:created xsi:type="dcterms:W3CDTF">2021-10-07T14:13:00Z</dcterms:created>
  <dcterms:modified xsi:type="dcterms:W3CDTF">2021-12-02T03:44:00Z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9C360D9396F44E3C919ED1125EE7FB26</vt:lpwstr>
  </property>
</Properties>
</file>