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/>
        <w:jc w:val="right"/>
        <w:rPr>
          <w:rFonts w:hint="eastAsia" w:eastAsia="黑体"/>
          <w:szCs w:val="21"/>
        </w:rPr>
      </w:pPr>
    </w:p>
    <w:p>
      <w:pPr>
        <w:snapToGrid w:val="0"/>
        <w:spacing w:before="312" w:beforeLines="100" w:after="312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 xml:space="preserve">                   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66432;mso-width-relative:page;mso-height-relative:page;" filled="f" stroked="t" coordsize="21600,21600" o:gfxdata="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Ot5hNMAAAAFAQAADwAA&#10;AAAAAAABACAAAAAiAAAAZHJzL2Rvd25yZXYueG1sUEsBAhQAFAAAAAgAh07iQMxV/WviAQAApwMA&#10;AA4AAAAAAAAAAQAgAAAAIgEAAGRycy9lMm9Eb2MueG1sUEsFBgAAAAAGAAYAWQEAAHYFAAAAAA==&#10;">
                <v:path arrowok="t"/>
                <v:fill on="f" focussize="0,0"/>
                <v:stroke weight="4.5pt" linestyle="thickThin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中亚学研究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中国21世纪</w:t>
      </w:r>
      <w:r>
        <w:rPr>
          <w:rFonts w:hint="eastAsia"/>
          <w:bCs/>
          <w:szCs w:val="21"/>
        </w:rPr>
        <w:t>头</w:t>
      </w:r>
      <w:r>
        <w:rPr>
          <w:bCs/>
          <w:szCs w:val="21"/>
        </w:rPr>
        <w:t>十年的中亚研究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中亚媒体涉疆报道现状分析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8</w: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  <w:r>
        <w:rPr>
          <w:rFonts w:eastAsia="方正正中黑简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8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53.55pt;z-index:251659264;mso-width-relative:page;mso-height-relative:page;" filled="f" stroked="t" coordsize="21600,21600" o:gfxdata="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QCky0gAAAAQBAAAPAAAAAAAA&#10;AAEAIAAAACIAAABkcnMvZG93bnJldi54bWxQSwECFAAUAAAACACHTuJAQ1OX1t8BAACgAwAADgAA&#10;AAAAAAABACAAAAAhAQAAZHJzL2Uyb0RvYy54bWxQSwUGAAAAAAYABgBZAQAAcgUAAAAA&#10;">
                <v:path arrowok="t"/>
                <v:fill on="f" focussize="0,0"/>
                <v:stroke weight="0.5pt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丝绸之路经济带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塔吉克斯坦</w:t>
      </w:r>
      <w:bookmarkStart w:id="0" w:name="OLE_LINK1"/>
      <w:bookmarkStart w:id="1" w:name="OLE_LINK2"/>
      <w:r>
        <w:rPr>
          <w:bCs/>
          <w:szCs w:val="21"/>
        </w:rPr>
        <w:t>在丝绸之路经济带形成中的作用</w:t>
      </w:r>
      <w:bookmarkEnd w:id="0"/>
      <w:bookmarkEnd w:id="1"/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15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欧亚经济联盟和丝绸之路经济带是“合作伙伴”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布哈拉历史上的丝绸之路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19</w: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  <w:r>
        <w:rPr>
          <w:rFonts w:eastAsia="方正正中黑简体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600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pt;height:0pt;width:453.55pt;z-index:251660288;mso-width-relative:page;mso-height-relative:page;" filled="f" stroked="t" coordsize="21600,21600" o:gfxdata="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AwpD0gAAAAQBAAAPAAAAAAAA&#10;AAEAIAAAACIAAABkcnMvZG93bnJldi54bWxQSwECFAAUAAAACACHTuJACx1WGN8BAACgAwAADgAA&#10;AAAAAAABACAAAAAhAQAAZHJzL2Uyb0RvYy54bWxQSwUGAAAAAAYABgBZAQAAcgUAAAAA&#10;">
                <v:path arrowok="t"/>
                <v:fill on="f" focussize="0,0"/>
                <v:stroke weight="0.5pt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中亚法律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哈萨克斯坦税法的重大变化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24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 xml:space="preserve">关于修改乌兹别克斯坦共和国部分法律的决定 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27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关于修改乌兹别克斯坦共和国《电子商务法》的决定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35</w:t>
      </w:r>
    </w:p>
    <w:p>
      <w:pPr>
        <w:tabs>
          <w:tab w:val="right" w:leader="dot" w:pos="9030"/>
        </w:tabs>
        <w:snapToGrid w:val="0"/>
        <w:spacing w:line="264" w:lineRule="auto"/>
        <w:rPr>
          <w:rFonts w:hint="eastAsia"/>
          <w:bCs/>
          <w:szCs w:val="21"/>
        </w:rPr>
      </w:pPr>
      <w:r>
        <w:rPr>
          <w:bCs/>
          <w:szCs w:val="21"/>
        </w:rPr>
        <w:t>乌兹别克斯坦共和国电子商务法（新版）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35</w:t>
      </w:r>
    </w:p>
    <w:p>
      <w:pPr>
        <w:tabs>
          <w:tab w:val="right" w:leader="dot" w:pos="9030"/>
        </w:tabs>
        <w:snapToGrid w:val="0"/>
        <w:spacing w:line="264" w:lineRule="auto"/>
        <w:rPr>
          <w:rFonts w:hint="eastAsia"/>
          <w:bCs/>
          <w:szCs w:val="21"/>
        </w:rPr>
      </w:pPr>
      <w:r>
        <w:rPr>
          <w:bCs/>
          <w:szCs w:val="21"/>
        </w:rPr>
        <w:t>塔吉克斯坦新投资法环境下的外资吸引力与境外IPO发展态势分析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38</w: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  <w:r>
        <w:rPr>
          <w:rFonts w:eastAsia="方正正中黑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600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53.55pt;z-index:251661312;mso-width-relative:page;mso-height-relative:page;" filled="f" stroked="t" coordsize="21600,21600" o:gfxdata="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ss83PRAAAABAEAAA8AAAAAAAAA&#10;AQAgAAAAIgAAAGRycy9kb3ducmV2LnhtbFBLAQIUABQAAAAIAIdO4kAvujZ/3wEAAKADAAAOAAAA&#10;AAAAAAEAIAAAACABAABkcnMvZTJvRG9jLnhtbFBLBQYAAAAABgAGAFkBAABxBQAAAAA=&#10;">
                <v:path arrowok="t"/>
                <v:fill on="f" focussize="0,0"/>
                <v:stroke weight="0.5pt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中亚经济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 xml:space="preserve">乌兹别克斯坦经济的现实与神话 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41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美国2015-2019年中亚地区合作发展规划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44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乌兹别克斯坦往俄罗斯移民潮社会调研结果报告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48</w: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  <w:bookmarkStart w:id="2" w:name="_GoBack"/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60085" cy="0"/>
                <wp:effectExtent l="0" t="28575" r="5715" b="349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.4pt;height:0pt;width:453.55pt;z-index:251658240;mso-width-relative:page;mso-height-relative:page;" filled="f" stroked="t" coordsize="21600,21600" o:gfxdata="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vM7I7UAAAABgEAAA8A&#10;AAAAAAAAAQAgAAAAIgAAAGRycy9kb3ducmV2LnhtbFBLAQIUABQAAAAIAIdO4kBHIl4y4gEAAKcD&#10;AAAOAAAAAAAAAAEAIAAAACMBAABkcnMvZTJvRG9jLnhtbFBLBQYAAAAABgAGAFkBAAB3BQAAAAA=&#10;">
                <v:path arrowok="t"/>
                <v:fill on="f" focussize="0,0"/>
                <v:stroke weight="4.5pt" linestyle="thinThick" joinstyle="miter"/>
                <v:imagedata o:title=""/>
                <o:lock v:ext="edit" grouping="f" rotation="f" text="f" aspectratio="f"/>
              </v:line>
            </w:pict>
          </mc:Fallback>
        </mc:AlternateContent>
      </w:r>
      <w:bookmarkEnd w:id="2"/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黑体"/>
          <w:sz w:val="24"/>
          <w:szCs w:val="24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黑体"/>
          <w:sz w:val="24"/>
          <w:szCs w:val="24"/>
        </w:rPr>
        <w:t>内部交流</w:t>
      </w:r>
      <w:r>
        <w:rPr>
          <w:rFonts w:eastAsia="方正正中黑简体"/>
          <w:sz w:val="24"/>
          <w:szCs w:val="24"/>
        </w:rPr>
        <w:br w:type="page"/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jc w:val="center"/>
        <w:rPr>
          <w:sz w:val="28"/>
          <w:szCs w:val="28"/>
        </w:rPr>
      </w:pPr>
      <w:r>
        <w:rPr>
          <w:sz w:val="30"/>
          <w:szCs w:val="24"/>
        </w:rPr>
        <w:t xml:space="preserve">                                      </w:t>
      </w:r>
      <w:r>
        <w:rPr>
          <w:sz w:val="28"/>
          <w:szCs w:val="28"/>
        </w:rPr>
        <w:t>第3卷（总第7期）</w: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jc w:val="right"/>
        <w:rPr>
          <w:rFonts w:eastAsia="方正正中黑简体"/>
          <w:color w:val="FF0000"/>
          <w:sz w:val="24"/>
          <w:szCs w:val="24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760085" cy="0"/>
                <wp:effectExtent l="0" t="28575" r="5715" b="349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7pt;height:0pt;width:453.55pt;z-index:251664384;mso-width-relative:page;mso-height-relative:page;" filled="f" stroked="t" coordsize="21600,21600" o:gfxdata="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GfottQAAAAGAQAADwAA&#10;AAAAAAABACAAAAAiAAAAZHJzL2Rvd25yZXYueG1sUEsBAhQAFAAAAAgAh07iQOLR1WvhAQAApwMA&#10;AA4AAAAAAAAAAQAgAAAAIwEAAGRycy9lMm9Eb2MueG1sUEsFBgAAAAAGAAYAWQEAAHYFAAAAAA==&#10;">
                <v:path arrowok="t"/>
                <v:fill on="f" focussize="0,0"/>
                <v:stroke weight="4.5pt" linestyle="thickThin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地缘政治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哈萨克斯坦的俄罗斯族人是“俄语世界”的人质吗？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57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“大中亚”：地缘政治方案还是对外政治工具？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64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中国全力以赴加强与哈萨克斯坦的“紧密友谊”：是喜还是忧？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67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上合组织应尽快接受阿富汗为成员国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70</w: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  <w:r>
        <w:rPr>
          <w:rFonts w:eastAsia="方正正中黑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7600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3.85pt;height:0pt;width:453.55pt;z-index:251662336;mso-width-relative:page;mso-height-relative:page;" filled="f" stroked="t" coordsize="21600,21600" o:gfxdata="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NkMm7TAAAABgEAAA8AAAAA&#10;AAAAAQAgAAAAIgAAAGRycy9kb3ducmV2LnhtbFBLAQIUABQAAAAIAIdO4kAzJ+ld4AEAAKADAAAO&#10;AAAAAAAAAAEAIAAAACIBAABkcnMvZTJvRG9jLnhtbFBLBQYAAAAABgAGAFkBAAB0BQAAAAA=&#10;">
                <v:path arrowok="t"/>
                <v:fill on="f" focussize="0,0"/>
                <v:stroke weight="0.5pt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丝绸之路经济带教育研究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卡南·努罗夫：12年中小学教育不是教育体系改革的主要目标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72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“一带一路”背景下新疆外语教育政策面临的挑战与变革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75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俄罗斯与吉尔吉斯斯坦教育空间的建构：现状与挑战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82</w:t>
      </w: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</w:p>
    <w:p>
      <w:pPr>
        <w:tabs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bCs/>
          <w:szCs w:val="21"/>
        </w:rPr>
      </w:pPr>
      <w:r>
        <w:rPr>
          <w:rFonts w:eastAsia="方正正中黑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6008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5pt;height:0pt;width:453.55pt;z-index:251663360;mso-width-relative:page;mso-height-relative:page;" filled="f" stroked="t" coordsize="21600,21600" o:gfxdata="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hgJYI0wAAAAYBAAAPAAAAAAAA&#10;AAEAIAAAACIAAABkcnMvZG93bnJldi54bWxQSwECFAAUAAAACACHTuJA+FFz9d4BAACgAwAADgAA&#10;AAAAAAABACAAAAAiAQAAZHJzL2Uyb0RvYy54bWxQSwUGAAAAAAYABgBZAQAAcgUAAAAA&#10;">
                <v:path arrowok="t"/>
                <v:fill on="f" focussize="0,0"/>
                <v:stroke weight="0.5pt" joinstyle="miter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snapToGrid w:val="0"/>
        <w:spacing w:line="336" w:lineRule="auto"/>
        <w:rPr>
          <w:rFonts w:eastAsia="方正正中黑简体"/>
          <w:sz w:val="24"/>
          <w:szCs w:val="24"/>
        </w:rPr>
      </w:pPr>
      <w:r>
        <w:rPr>
          <w:rFonts w:eastAsia="方正正中黑简体"/>
          <w:sz w:val="24"/>
          <w:szCs w:val="24"/>
        </w:rPr>
        <w:t>◆ 中亚语言与文学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哈萨克斯坦的俄语状况（1991-2008）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89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南哈萨克斯坦州将成为单语言地区吗？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102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语言独裁还是定位？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105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bCs/>
          <w:szCs w:val="21"/>
        </w:rPr>
      </w:pPr>
      <w:r>
        <w:rPr>
          <w:bCs/>
          <w:szCs w:val="21"/>
        </w:rPr>
        <w:t>吉尔吉斯斯坦俄语诗人维·沙波瓦洛夫创作中的历史主题转换</w:t>
      </w:r>
      <w:r>
        <w:rPr>
          <w:rFonts w:hint="eastAsia"/>
          <w:bCs/>
          <w:szCs w:val="21"/>
        </w:rPr>
        <w:tab/>
      </w:r>
      <w:r>
        <w:rPr>
          <w:rFonts w:hint="eastAsia"/>
          <w:bCs/>
          <w:szCs w:val="21"/>
        </w:rPr>
        <w:t>107</w:t>
      </w:r>
    </w:p>
    <w:p>
      <w:r>
        <w:t xml:space="preserve"> </w:t>
      </w:r>
    </w:p>
    <w:p>
      <w:pPr>
        <w:snapToGrid w:val="0"/>
        <w:spacing w:line="336" w:lineRule="auto"/>
        <w:rPr>
          <w:b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760085" cy="0"/>
                <wp:effectExtent l="0" t="28575" r="571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35pt;height:0pt;width:453.55pt;z-index:251665408;mso-width-relative:page;mso-height-relative:page;" filled="f" stroked="t" coordsize="21600,21600" o:gfxdata="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ZKldfUAAAABgEAAA8A&#10;AAAAAAAAAQAgAAAAIgAAAGRycy9kb3ducmV2LnhtbFBLAQIUABQAAAAIAIdO4kD3fR8y4gEAAKcD&#10;AAAOAAAAAAAAAAEAIAAAACMBAABkcnMvZTJvRG9jLnhtbFBLBQYAAAAABgAGAFkBAAB3BQAAAAA=&#10;">
                <v:path arrowok="t"/>
                <v:fill on="f" focussize="0,0"/>
                <v:stroke weight="4.5pt" linestyle="thinThick" joinstyle="miter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b/>
        </w:rPr>
        <w:t xml:space="preserve"> </w:t>
      </w:r>
    </w:p>
    <w:p>
      <w:pPr>
        <w:snapToGrid w:val="0"/>
        <w:spacing w:line="336" w:lineRule="auto"/>
        <w:rPr>
          <w:b/>
        </w:rPr>
      </w:pPr>
    </w:p>
    <w:p>
      <w:pPr>
        <w:snapToGrid w:val="0"/>
        <w:spacing w:line="336" w:lineRule="auto"/>
        <w:jc w:val="center"/>
      </w:pPr>
      <w:r>
        <w:t xml:space="preserve">执行主编：凌建侯                           </w:t>
      </w:r>
      <w:r>
        <w:rPr>
          <w:rFonts w:hint="eastAsia"/>
        </w:rPr>
        <w:t xml:space="preserve">        </w:t>
      </w:r>
      <w:r>
        <w:t>校    对：蒙曜登、聂凤芝</w:t>
      </w:r>
    </w:p>
    <w:p>
      <w:pPr>
        <w:snapToGrid w:val="0"/>
        <w:spacing w:line="336" w:lineRule="auto"/>
        <w:jc w:val="center"/>
        <w:rPr>
          <w:b/>
        </w:rPr>
      </w:pPr>
      <w:r>
        <w:t>执行编辑：蒙曜登</w:t>
      </w:r>
      <w:r>
        <w:rPr>
          <w:rFonts w:hint="eastAsia"/>
        </w:rPr>
        <w:t xml:space="preserve">        </w:t>
      </w:r>
      <w:r>
        <w:t xml:space="preserve">    </w:t>
      </w:r>
      <w:r>
        <w:rPr>
          <w:rFonts w:hint="eastAsia"/>
        </w:rPr>
        <w:t xml:space="preserve">   </w:t>
      </w:r>
      <w:r>
        <w:t xml:space="preserve">                   </w:t>
      </w:r>
      <w:r>
        <w:rPr>
          <w:rFonts w:hint="eastAsia"/>
        </w:rPr>
        <w:t xml:space="preserve"> </w:t>
      </w:r>
      <w:r>
        <w:t>外文译校：蒙曜登、凌建侯</w:t>
      </w:r>
    </w:p>
    <w:p>
      <w:pPr>
        <w:snapToGrid w:val="0"/>
        <w:spacing w:line="264" w:lineRule="auto"/>
        <w:jc w:val="center"/>
        <w:rPr>
          <w:b/>
          <w:color w:val="FF0000"/>
        </w:rPr>
        <w:sectPr>
          <w:headerReference r:id="rId3" w:type="even"/>
          <w:pgSz w:w="11906" w:h="16838"/>
          <w:pgMar w:top="1701" w:right="1418" w:bottom="1418" w:left="1418" w:header="1701" w:footer="1134" w:gutter="0"/>
          <w:pgNumType w:start="1"/>
          <w:cols w:space="720" w:num="1"/>
          <w:docGrid w:type="linesAndChars" w:linePitch="312" w:charSpace="0"/>
        </w:sectPr>
      </w:pPr>
    </w:p>
    <w:p>
      <w:pPr>
        <w:snapToGrid w:val="0"/>
        <w:spacing w:line="264" w:lineRule="auto"/>
        <w:rPr>
          <w:rFonts w:eastAsia="黑体"/>
          <w:sz w:val="32"/>
          <w:szCs w:val="32"/>
        </w:rPr>
        <w:sectPr>
          <w:headerReference r:id="rId4" w:type="default"/>
          <w:headerReference r:id="rId5" w:type="even"/>
          <w:type w:val="continuous"/>
          <w:pgSz w:w="11906" w:h="16838"/>
          <w:pgMar w:top="1701" w:right="1418" w:bottom="1418" w:left="1418" w:header="1701" w:footer="1134" w:gutter="0"/>
          <w:pgNumType w:start="1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Style w:val="5"/>
      </w:rPr>
    </w:pPr>
    <w:r>
      <w:rPr>
        <w:rStyle w:val="5"/>
        <w:rFonts w:hint="eastAsia"/>
      </w:rPr>
      <w:t xml:space="preserve">2015年第2期                         丝绸之路经济带与中亚研究                                     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  <w:r>
      <w:rPr>
        <w:rStyle w:val="5"/>
        <w:rFonts w:hint="eastAsia"/>
      </w:rPr>
      <w:t xml:space="preserve">                                                                                                                                                   </w:t>
    </w:r>
  </w:p>
  <w:p>
    <w:pPr>
      <w:pStyle w:val="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Style w:val="5"/>
        <w:rFonts w:hint="eastAsia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148</w:t>
    </w:r>
    <w:r>
      <w:fldChar w:fldCharType="end"/>
    </w:r>
    <w:r>
      <w:rPr>
        <w:rStyle w:val="5"/>
        <w:rFonts w:hint="eastAsia"/>
      </w:rPr>
      <w:t xml:space="preserve">                                 </w:t>
    </w:r>
    <w:r>
      <w:rPr>
        <w:rFonts w:ascii="宋体" w:hAnsi="宋体"/>
      </w:rPr>
      <w:t>丝绸之路经济带:造福中国与世界</w:t>
    </w:r>
    <w:r>
      <w:rPr>
        <w:rFonts w:hint="eastAsia" w:ascii="宋体" w:hAnsi="宋体"/>
      </w:rPr>
      <w:t xml:space="preserve">                                   </w:t>
    </w:r>
  </w:p>
  <w:p>
    <w:pPr>
      <w:pStyle w:val="2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0897"/>
    <w:rsid w:val="762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2020-08-25T02:30:00Z</dcterms:created>
  <dc:creator>buling</dc:creator>
  <cp:lastModifiedBy>buling</cp:lastModifiedBy>
  <dcterms:modified xsi:type="dcterms:W3CDTF">2020-08-25T02:30:56Z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